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2024-08-21_</w:t>
        <w:br/>
        <w:t>_last edited by abacus as translator on 2025-03-12</w:t>
        <w:br/>
        <w:t xml:space="preserve">        (applies to section: Main-text; Sources)_</w:t>
      </w:r>
    </w:p>
    <w:p>
      <w:pPr>
        <w:pStyle w:val="BodyText"/>
      </w:pPr>
    </w:p>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 in colonised territories_</w:t>
        <w:br/>
        <w:t>_see also: Army and navy personnel in colonised territories_</w:t>
        <w:br/>
        <w:t>_see also: Christian missionaries in colonised territories_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br/>
        <w:t>_see also: Museon-Omniversum_</w:t>
        <w:br/>
        <w:t>_see also: International Colonial and Export Exhibition 1883_</w:t>
        <w:br/>
        <w:t>_see also: Volkenkundig museum 'Gerardus van der Leeuw'_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 objects</w:t>
        <w:br/>
        <w:t>,</w:t>
        <w:br/>
        <w:t xml:space="preserve">  Geographical:</w:t>
      </w:r>
    </w:p>
    <w:p>
      <w:pPr>
        <w:pStyle w:val="BodyText"/>
      </w:pPr>
    </w:p>
    <w:p>
      <w:pPr>
        <w:pStyle w:val="BodyText"/>
      </w:pPr>
      <w:r>
        <w:t>Indonesia, Suriname, Aruba, Bonaire, Curaçao, Saba, Sint Eustatius, Sint Maarten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