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2024-08-27_</w:t>
        <w:br/>
        <w:t>_last edited by Wiebe Reints as original_author on 2024-08-27_</w:t>
      </w:r>
    </w:p>
    <w:p>
      <w:pPr>
        <w:pStyle w:val="BodyText"/>
      </w:pPr>
    </w:p>
    <w:p>
      <w:pPr>
        <w:pStyle w:val="Title"/>
      </w:pPr>
      <w:r>
        <w:t>Koninklijk Bataviaasch Genootschap van Kunsten en Wetenschappen</w:t>
      </w:r>
    </w:p>
    <w:p>
      <w:pPr>
        <w:pStyle w:val="BodyText"/>
      </w:pPr>
    </w:p>
    <w:p>
      <w:pPr>
        <w:pStyle w:val="Heading1"/>
      </w:pPr>
      <w:r>
        <w:t>Abstract</w:t>
      </w:r>
    </w:p>
    <w:p>
      <w:pPr>
        <w:pStyle w:val="BodyText"/>
      </w:pPr>
    </w:p>
    <w:p>
      <w:pPr>
        <w:pStyle w:val="BodyText"/>
      </w:pPr>
      <w:r>
        <w:t>Het Koninklijk Bataviaasch Genootschap van Kunsten en Wetenschappen werd in 1778 opgericht. Het stelde zichzelf de taak de (schone) kunsten en wetenschappen in voormalig Nederlands-Indië te bevorderen. Lang besloot het Bataviaasch Genootschap of een object in Indonesië bleef, of dat het naar Nederland werd verzonden ten behoeve van de musea aldaar. Na 1962 is de collectie van het Genootschap opgegaan in het Nationale Museum van Indonesië.</w:t>
      </w:r>
    </w:p>
    <w:p>
      <w:pPr>
        <w:pStyle w:val="BodyText"/>
      </w:pPr>
    </w:p>
    <w:p>
      <w:pPr>
        <w:pStyle w:val="Heading2"/>
      </w:pPr>
      <w:r>
        <w:t>Beschrijving</w:t>
      </w:r>
    </w:p>
    <w:p>
      <w:pPr>
        <w:pStyle w:val="BodyText"/>
      </w:pPr>
    </w:p>
    <w:p>
      <w:pPr>
        <w:pStyle w:val="BodyText"/>
      </w:pPr>
      <w:r>
        <w:t>Het Bataviaasch Genootschap van Kunsten en Wetenschappen, dat sinds 1910 het predicaat 'Koninklijk' droeg, werd in 1778 opgericht. Zodoende heeft het genootschap verscheidene koloniale besturen doorstaan, de VOC, de Franse periode, het Britse interregnum en ten slotte het Koninkrijk der Nederlanden. Na de Indonesische onafhankelijkheid werd in 1950 de naam van het genootschap veranderd in Lembaga Kebudajaan Indonesia, het Indonesisch Cultureel Instituut. In 1962 hield het instituut op te bestaan en is de collectie opgenomen in het Nationale Museum van Indonesië, dat nog altijd huist in het gebouw waar het Bataviaasch Genootschap in 1867 naartoe verhuisde. De leden van het genootschap waren voornamelijk afkomstig uit de hogere regionen van het koloniale bestuur in voormalig Nederlands-Indië, de lijntjes met het gezag waren om die reden dan ook kort. Ook was er veel contact met soortgelijke genootschappen in Nederland en met Nederlandse musea en wetenschappers. Op deze manier ontwikkelde het Bataviaasch Genootschap van Kunsten en Wetenschappen zich tot een spil in het culturele en wetenschappelijke veld binnen Nederlands-Indië.</w:t>
      </w:r>
    </w:p>
    <w:p>
      <w:pPr>
        <w:pStyle w:val="BodyText"/>
      </w:pPr>
    </w:p>
    <w:p>
      <w:pPr>
        <w:pStyle w:val="BodyText"/>
      </w:pPr>
      <w:r>
        <w:t>Het doel van het Bataviaasch Genootschap was het bevorderen van de kunsten en wetenschappen in voormalig Nederlands-Indië en in de eerste jaren van het genootschap lag de focus voornamelijk op het publiceren van wetenschappelijke verhandelingen over het door Nederland gekoloniseerde gebied. Het verzamelen van objecten stond in die periode nog niet hoog op de agenda. Naast de door de eerste voorzitter, Jacobus Radermacher, afgedragen collectie van objecten werden er maar mondjesmaat voorwerpen toegevoegd aan het 'kabinet', zoals het museum van het Genootschap toen werd genoemd. Pas vanaf 1835 kwam de nadruk steeds meer te liggen op het verzamelen van verschillende objecten. Aanvankelijk lag de nadruk op natuurlijke voorwerpen, maar later werden ook meer en meer etnologische en oudheidkundige objecten aan de collectie toegevoegd. In 1843 werd besloten de natuurhistorische collectie over te dragen aan het Museum van Natuurlijke Historie in Leiden. Rond dezelfde tijd werd er via een gouvernementsbesluit bepaald dat objecten van oudheidkundige waarde niet zomaar meer naar Nederland mochten worden gescheept. In 1858 werd dat beleid aangescherpt waardoor het Bataviaasch Genootschap ging optreden als beheerder van collecties die, al dan niet als oorlogsbuit, door het Nederlands-Indische gouvernement worden verkregen. De collectie van het Bataviaasch Genootschap kreeg zodoende steeds meer de vorm van een museum.</w:t>
      </w:r>
    </w:p>
    <w:p>
      <w:pPr>
        <w:pStyle w:val="BodyText"/>
      </w:pPr>
    </w:p>
    <w:p>
      <w:pPr>
        <w:pStyle w:val="BodyText"/>
      </w:pPr>
      <w:r>
        <w:t>Vanaf 1878 gold dat alle door ambtenaren verzamelde objecten eerst naar het Bataviaasch Genootschap dienen te worden gestuurd, waar een selectie werd gemaakt. Een deel bleef zodoende in Batavia en het andere gedeelte werd naar Nederland opgestuurd. Dit is bijvoorbeeld de reden dat van de zogenaamde 'Lombokschat', die gedurende de Lombok-oorlog aan het eind van de negentiende eeuw door het Koninklijk Nederlands-Indisch Leger buit werd gemaakt, voor een deel in de collectie van het Bataviaasch Genootschap werd opgenomen.</w:t>
      </w:r>
    </w:p>
    <w:p>
      <w:pPr>
        <w:pStyle w:val="BodyText"/>
      </w:pPr>
    </w:p>
    <w:p>
      <w:pPr>
        <w:pStyle w:val="BodyText"/>
      </w:pPr>
      <w:r>
        <w:t>Vanaf 1779 publiceerde het Bataviaasch Genootschap wetenschappelijke bevindingen in Verhandelingen van het Bataviaasch Genootschap van Kunsten en Wetenschappen dat op een regelmatige basis werd uitgebracht en vanaf 1838 door het genootschap zelf werd uitgegeven. In 1853 richtte het genootschap ook het tijdschrift Tijdschrift voor Indische taal- land- en volkenkunde op. Ook de notulen van het genootschap werden sinds die tijd gepubliceerd, hierin is veelal interessante informatie te vinden over de objecten die werden verworven.</w:t>
      </w:r>
    </w:p>
    <w:p>
      <w:pPr>
        <w:pStyle w:val="BodyText"/>
      </w:pPr>
    </w:p>
    <w:p>
      <w:pPr>
        <w:pStyle w:val="Heading2"/>
      </w:pPr>
      <w:r>
        <w:t>Herkomstonderzoek</w:t>
      </w:r>
    </w:p>
    <w:p>
      <w:pPr>
        <w:pStyle w:val="BodyText"/>
      </w:pPr>
    </w:p>
    <w:p>
      <w:pPr>
        <w:pStyle w:val="BodyText"/>
      </w:pPr>
      <w:r>
        <w:t>De collectie van het Bataviaasch Genootschap is na de opheffing in 1962 opgenomen in de collectie van het Nationale Museum van Indonesië, Museum Nasional Indonesia. Het archief van het genootschap is toegankelijk via het Arsip Nasional Republik Indonesia, het Nationale Archief van Indonesië. De inventaris kan je via de website downloaden en raadplegen door te zoeken op 'Bataviaasch Genootschap', de inventaris is in het Bahasa Indonesia.</w:t>
      </w:r>
    </w:p>
    <w:p>
      <w:pPr>
        <w:pStyle w:val="BodyText"/>
      </w:pPr>
    </w:p>
    <w:p>
      <w:pPr>
        <w:pStyle w:val="BodyText"/>
      </w:pPr>
      <w:r>
        <w:t>Zoals beschreven is in de notulen van het Bataviaasch Genootschap veel informatie te vinden over objecten die werden aangeboden en verzameld door het genootschap. De notulen van 1863 tot en met 1922 zijn beschikbaar via de universiteitsbibliotheek van de Universiteit Leiden. Ook het boek Van Batavia naar Weltevreden van Hans Groot bevat verschillende gedetailleerde beschrijvingen van objecten die door het Bataviaasch Genootschap werden verworven.</w:t>
      </w:r>
    </w:p>
    <w:p>
      <w:pPr>
        <w:pStyle w:val="BodyText"/>
      </w:pPr>
    </w:p>
    <w:p>
      <w:pPr>
        <w:pStyle w:val="Heading1"/>
      </w:pPr>
      <w:r>
        <w:t>Related Aids</w:t>
      </w:r>
    </w:p>
    <w:p>
      <w:pPr>
        <w:pStyle w:val="BodyText"/>
      </w:pPr>
    </w:p>
    <w:p>
      <w:pPr>
        <w:pStyle w:val="BodyText"/>
      </w:pPr>
      <w:r>
        <w:t>_see also: Ambtenaren in gekoloniseerde gebieden_</w:t>
        <w:br/>
        <w:t>_see also: Wetenschappelijk onderzoek in gekoloniseerde gebieden_</w:t>
        <w:br/>
        <w:t>_see also: Koninklijk Instituut voor Taal- Land- en Volkenkunde_</w:t>
        <w:br/>
        <w:t>_see also: Naturalis Biodiversity Center_</w:t>
        <w:br/>
        <w:t>_see also: Ethnografisch Museum Artis_</w:t>
        <w:br/>
        <w:t>_see also: Koninklijk Kabinet van Zeldzaamheden_</w:t>
        <w:br/>
        <w:t>_see also: Wereldmuseum Amsterdam_</w:t>
        <w:br/>
        <w:t>_see also: Wereldmuseum Leiden_</w:t>
        <w:br/>
        <w:t>_see also: Wereldmuseum Rotterdam_</w:t>
        <w:br/>
        <w:t>_see also: Rijksmuseum van Oudheden_</w:t>
        <w:br/>
        <w:t>_see also: C.G.C. Reinwardt_</w:t>
      </w:r>
    </w:p>
    <w:p>
      <w:pPr>
        <w:pStyle w:val="BodyText"/>
      </w:pPr>
    </w:p>
    <w:p>
      <w:pPr>
        <w:pStyle w:val="Heading1"/>
      </w:pPr>
      <w:r>
        <w:t>Primary sources</w:t>
      </w:r>
    </w:p>
    <w:p>
      <w:pPr>
        <w:pStyle w:val="BodyText"/>
      </w:pPr>
    </w:p>
    <w:p>
      <w:pPr>
        <w:pStyle w:val="BodyText"/>
      </w:pPr>
      <w:r>
        <w:t>Publicatie:</w:t>
      </w:r>
    </w:p>
    <w:p>
      <w:pPr>
        <w:pStyle w:val="BodyText"/>
      </w:pPr>
    </w:p>
    <w:p>
      <w:pPr>
        <w:pStyle w:val="BodyText"/>
      </w:pPr>
    </w:p>
    <w:p>
      <w:pPr>
        <w:pStyle w:val="BodyText"/>
      </w:pPr>
      <w:r>
        <w:t>Notulen:</w:t>
      </w:r>
    </w:p>
    <w:p>
      <w:pPr>
        <w:pStyle w:val="BodyText"/>
      </w:pPr>
    </w:p>
    <w:p>
      <w:pPr>
        <w:pStyle w:val="BodyText"/>
      </w:pPr>
    </w:p>
    <w:p>
      <w:pPr>
        <w:pStyle w:val="BodyText"/>
      </w:pPr>
      <w:r>
        <w:t>Archief:</w:t>
      </w:r>
    </w:p>
    <w:p>
      <w:pPr>
        <w:pStyle w:val="BodyText"/>
      </w:pPr>
    </w:p>
    <w:p>
      <w:pPr>
        <w:pStyle w:val="BodyText"/>
      </w:pPr>
    </w:p>
    <w:p>
      <w:pPr>
        <w:pStyle w:val="BodyText"/>
      </w:pPr>
      <w:r>
        <w:t>Tijdschrift:</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http://www.wikidata.org/entity/Q1789996</w:t>
        <w:br/>
        <w:t>,</w:t>
        <w:br/>
        <w:t xml:space="preserve">  Name variations:</w:t>
      </w:r>
    </w:p>
    <w:p>
      <w:pPr>
        <w:pStyle w:val="BodyText"/>
      </w:pPr>
    </w:p>
    <w:p>
      <w:pPr>
        <w:pStyle w:val="BodyText"/>
      </w:pPr>
      <w:r>
        <w:t>Bataviaasch Genootschap, Lembaga Kebudajaan Indonesia</w:t>
        <w:br/>
        <w:t>,</w:t>
        <w:br/>
        <w:t xml:space="preserve">  Tags:</w:t>
        <w:br/>
        <w:t xml:space="preserve">  Activity:</w:t>
      </w:r>
    </w:p>
    <w:p>
      <w:pPr>
        <w:pStyle w:val="BodyText"/>
      </w:pPr>
    </w:p>
    <w:p>
      <w:pPr>
        <w:pStyle w:val="BodyText"/>
      </w:pPr>
      <w:r>
        <w:t>Genootschap, Collectie, Museum</w:t>
        <w:br/>
        <w:t>,</w:t>
        <w:br/>
        <w:t xml:space="preserve">  Type of objects:</w:t>
      </w:r>
    </w:p>
    <w:p>
      <w:pPr>
        <w:pStyle w:val="BodyText"/>
      </w:pPr>
    </w:p>
    <w:p>
      <w:pPr>
        <w:pStyle w:val="BodyText"/>
      </w:pPr>
      <w:r>
        <w:t>Natuurlijke objecten, Natuurhistorische specimens, Mineralen</w:t>
        <w:br/>
        <w:t>,</w:t>
        <w:br/>
        <w:t xml:space="preserve">  Geographical:</w:t>
      </w:r>
    </w:p>
    <w:p>
      <w:pPr>
        <w:pStyle w:val="BodyText"/>
      </w:pPr>
    </w:p>
    <w:p>
      <w:pPr>
        <w:pStyle w:val="BodyText"/>
      </w:pPr>
      <w:r>
        <w:t>Indonesië</w:t>
        <w:br/>
        <w:t>,</w:t>
        <w:br/>
        <w:t xml:space="preserve">  Period of activity:</w:t>
        <w:br/>
        <w:t xml:space="preserve">  Year of start:</w:t>
        <w:br/>
        <w:t xml:space="preserve">  1778,</w:t>
        <w:br/>
        <w:t xml:space="preserve">  Year of end:</w:t>
        <w:br/>
        <w:t xml:space="preserve">  1962,</w:t>
        <w:br/>
        <w:t xml:space="preserve">  Collections:</w:t>
        <w:br/>
        <w:t xml:space="preserve">  General remarks:</w:t>
        <w:br/>
        <w:t xml:space="preserve">  content:</w:t>
        <w:br/>
        <w:t xml:space="preserve">  "De museale collectie van het Koninklijk Bataviaasch Genootschap van Kunsten en Wetenschappen is na 1962 opgenomen in het Nationale Museum van Indonesië. De boekencollectie van het genootschap vormt sinds de oprichting in 1980 een onderdeel van de nationale bibliotheek van Indonesië."</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