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2025-04-28_</w:t>
        <w:br/>
        <w:t>_last edited by Wiebe Reints as original_author on 2025-06-16_</w:t>
      </w:r>
    </w:p>
    <w:p>
      <w:pPr>
        <w:pStyle w:val="BodyText"/>
      </w:pPr>
    </w:p>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Beschrijving</w:t>
      </w:r>
    </w:p>
    <w:p>
      <w:pPr>
        <w:pStyle w:val="BodyText"/>
      </w:pPr>
    </w:p>
    <w:p>
      <w:pPr>
        <w:pStyle w:val="BodyText"/>
      </w:pPr>
      <w:r>
        <w:t>De Hoofdcursus, zoals de militaire opleiding in Kampen vanaf 1880 werd genoemd, verzorgde het onderwijs voor zowel officieren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BodyText"/>
      </w:pPr>
      <w:r>
        <w:t>_see also: Leger- en marinepersoneel in gekoloniseerde gebieden_</w:t>
        <w:br/>
        <w:t>_see also: Wageningen University &amp; Research_</w:t>
        <w:br/>
        <w:t>_see also: Museum Bronbeek_</w:t>
        <w:br/>
        <w:t>_see also: Museum Nusantara_</w:t>
        <w:br/>
        <w:t>_see also: Volkenkundig Museum Justinus van Nassau_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Militaire academie</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"De collectie van de Hoofdcursus in Kampen is in 1923 opgegaan in de collectie van de Koninklijke Militaire Academie in Breda."</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