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2025-06-16_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BodyText"/>
      </w:pPr>
      <w:r>
        <w:t>Het Volkenkundig Museum 'Justinus van Nassau' ontstond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Beschrijving</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BodyText"/>
      </w:pPr>
      <w:r>
        <w:t>_see also: Leger- en marinepersoneel in gekoloniseerde gebieden_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"De collectie van Volkenkundig Museum Justinus van Nassau maakt sinds 1956 onderdeel uit van de collectie van Museum Volkenkunde, het huidige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