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De handel in objecten uit een koloniale context_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