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Beschrijving</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BodyText"/>
      </w:pPr>
      <w:r>
        <w:t>_see also: De handel in objecten uit een koloniale context_</w:t>
        <w:br/>
        <w:t>_see also: Koninklijk Kabinet van Zeldzaamheden_</w:t>
        <w:br/>
        <w:t>_see also: Wereldmuseum Leiden_</w:t>
        <w:br/>
        <w:t>_see also: Kunsthandel Van Lier_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Tapijten</w:t>
        <w:br/>
        <w:t>,</w:t>
        <w:br/>
        <w:t xml:space="preserve">  Geographical:</w:t>
      </w:r>
    </w:p>
    <w:p>
      <w:pPr>
        <w:pStyle w:val="BodyText"/>
      </w:pPr>
    </w:p>
    <w:p>
      <w:pPr>
        <w:pStyle w:val="BodyText"/>
      </w:pPr>
      <w:r>
        <w:t>China, Indonesië, Iran, Japan, Oceanië, Suriname, Turkije</w:t>
        <w:br/>
        <w:t>,</w:t>
        <w:br/>
        <w:t xml:space="preserve">  Period of activity:</w:t>
        <w:br/>
        <w:t xml:space="preserve">  Year of start:</w:t>
        <w:br/>
        <w:t xml:space="preserve">  1825,</w:t>
        <w:br/>
        <w:t xml:space="preserve">  Year of end:</w:t>
        <w:br/>
        <w:t xml:space="preserve">  1927,</w:t>
        <w:br/>
        <w:t xml:space="preserve">  Collecties: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