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Beschrijving</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BodyText"/>
      </w:pPr>
      <w:r>
        <w:t>_see also: De handel in objecten uit een koloniale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Sculpturen</w:t>
        <w:br/>
        <w:t>,</w:t>
        <w:br/>
        <w:t xml:space="preserve">  Geographical:</w:t>
      </w:r>
    </w:p>
    <w:p>
      <w:pPr>
        <w:pStyle w:val="BodyText"/>
      </w:pPr>
    </w:p>
    <w:p>
      <w:pPr>
        <w:pStyle w:val="BodyText"/>
      </w:pPr>
      <w:r>
        <w:t>Afrika, Azië, Indonesië, China, Congo, Papoea-Nieuw-Guinea, Noord-Amerika, Zuid-Amerika, Oceanië</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Voorwerpen die zijn verkocht door Kunsthandel Van Lier bevinden in zich onder andere het Wereldmuseum Amsterdam, Wereldmuseum Leiden, Wereldmuseum Rotterdam, Museum de Fundatie, Museum Boijmans van Beuningen en het Weltkulturenmuseum Frankfurt. Ook in de collectie van Museum Nusantara bevonden zich voorwerpen die bij kunsthandel Van Lier waren gekocht.</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