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2025-07-07</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2025-07-07</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Beschrijving</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BodyText"/>
      </w:pPr>
      <w:r>
        <w:t>_see also: Zendelingen en missionarissen in gekoloniseerde gebieden_</w:t>
        <w:br/>
        <w:t>_see also: Musea en efgoedbeherende instellingen_</w:t>
        <w:br/>
        <w:t>_see also: Etnografisch Museum Artis_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Natuur Historisch Museum</w:t>
        <w:br/>
        <w:t>,</w:t>
        <w:br/>
        <w:t xml:space="preserve">  Type of objects:</w:t>
      </w:r>
    </w:p>
    <w:p>
      <w:pPr>
        <w:pStyle w:val="BodyText"/>
      </w:pPr>
    </w:p>
    <w:p>
      <w:pPr>
        <w:pStyle w:val="BodyText"/>
      </w:pPr>
      <w:r>
        <w:t>Natuurhistorische specimens, Etnografica</w:t>
        <w:br/>
        <w:t>,</w:t>
        <w:br/>
        <w:t xml:space="preserve">  Geographical:</w:t>
      </w:r>
    </w:p>
    <w:p>
      <w:pPr>
        <w:pStyle w:val="BodyText"/>
      </w:pPr>
    </w:p>
    <w:p>
      <w:pPr>
        <w:pStyle w:val="BodyText"/>
      </w:pPr>
      <w:r>
        <w:t>Indonesië,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Natuurhistorisch en Volkenkundig Museum Oudenbosch is digitaal ontsloten, maar niet toegankelijk voor het publiek."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