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2025-03-04_</w:t>
        <w:br/>
        <w:t>_last edited by Wiebe Reints as original_author on 2025-06-24_</w:t>
      </w:r>
    </w:p>
    <w:p>
      <w:pPr>
        <w:pStyle w:val="BodyText"/>
      </w:pPr>
    </w:p>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Beschrijving</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De handel in objecten uit een koloniale context_</w:t>
        <w:br/>
        <w:t>_see also: Etnografisch Museum Artis_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Wereldtentoonstelling van 1883</w:t>
        <w:br/>
        <w:t>,</w:t>
        <w:br/>
        <w:t xml:space="preserve">  Tags:</w:t>
        <w:br/>
        <w:t xml:space="preserve">  Activity:</w:t>
      </w:r>
    </w:p>
    <w:p>
      <w:pPr>
        <w:pStyle w:val="BodyText"/>
      </w:pPr>
    </w:p>
    <w:p>
      <w:pPr>
        <w:pStyle w:val="BodyText"/>
      </w:pPr>
      <w:r>
        <w:t>Wereldtentoonstelling</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 [Suriname] (https://sws.geonames.org/3382998/), Nederlandse Antillen</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"Na afloop van de Wereldtentoonstelling in 1883 zijn veel van de tentoongestelde objecten verdeeld over verschillende instellingen in Nederland."</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