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2025-04-07</w:t>
        <w:br/>
        <w:t xml:space="preserve">        (applies to section: Main-text; Sources)_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Description</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Royal Netherlands Institute of Southeast Asian and Caribbean Studies (KITLV)_</w:t>
        <w:br/>
        <w:t>_see also: Naturalis Biodiversity Center_</w:t>
        <w:br/>
        <w:t>_see also: Artis Etnographic Museum_</w:t>
        <w:br/>
        <w:t>_see also: Royal Cabinet of Curiosities_</w:t>
        <w:br/>
        <w:t>_see also: Wereldmuseum Amsterdam_</w:t>
        <w:br/>
        <w:t>_see also: Wereldmuseum Leiden_</w:t>
        <w:br/>
        <w:t>_see also: Wereldmuseum Rotterdam_</w:t>
        <w:br/>
        <w:t>_see also: Rijksmuseum Amsterdam_</w:t>
        <w:br/>
        <w:t>_see also: Rijksmuseum van Oudheden_</w:t>
        <w:br/>
        <w:t>_see also: C.G.C. Reinwardt_</w:t>
      </w:r>
    </w:p>
    <w:p>
      <w:pPr>
        <w:pStyle w:val="BodyText"/>
      </w:pPr>
    </w:p>
    <w:p>
      <w:pPr>
        <w:pStyle w:val="Heading1"/>
      </w:pPr>
      <w:r>
        <w:t>Primary sources</w:t>
      </w:r>
    </w:p>
    <w:p>
      <w:pPr>
        <w:pStyle w:val="BodyText"/>
      </w:pPr>
    </w:p>
    <w:p>
      <w:pPr>
        <w:pStyle w:val="BodyText"/>
      </w:pPr>
      <w:r>
        <w:t>Publication:</w:t>
      </w:r>
    </w:p>
    <w:p>
      <w:pPr>
        <w:pStyle w:val="BodyText"/>
      </w:pPr>
    </w:p>
    <w:p>
      <w:pPr>
        <w:pStyle w:val="BodyText"/>
      </w:pPr>
    </w:p>
    <w:p>
      <w:pPr>
        <w:pStyle w:val="BodyText"/>
      </w:pPr>
      <w:r>
        <w:t>Minutes:</w:t>
      </w:r>
    </w:p>
    <w:p>
      <w:pPr>
        <w:pStyle w:val="BodyText"/>
      </w:pPr>
    </w:p>
    <w:p>
      <w:pPr>
        <w:pStyle w:val="BodyText"/>
      </w:pPr>
    </w:p>
    <w:p>
      <w:pPr>
        <w:pStyle w:val="BodyText"/>
      </w:pPr>
      <w:r>
        <w:t>Archive:</w:t>
      </w:r>
    </w:p>
    <w:p>
      <w:pPr>
        <w:pStyle w:val="BodyText"/>
      </w:pPr>
    </w:p>
    <w:p>
      <w:pPr>
        <w:pStyle w:val="BodyText"/>
      </w:pPr>
    </w:p>
    <w:p>
      <w:pPr>
        <w:pStyle w:val="BodyText"/>
      </w:pPr>
      <w:r>
        <w:t>Journal:</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Society, Collection, Museum</w:t>
        <w:br/>
        <w:t>,</w:t>
        <w:br/>
        <w:t xml:space="preserve">  Type of objects:</w:t>
      </w:r>
    </w:p>
    <w:p>
      <w:pPr>
        <w:pStyle w:val="BodyText"/>
      </w:pPr>
    </w:p>
    <w:p>
      <w:pPr>
        <w:pStyle w:val="BodyText"/>
      </w:pPr>
      <w:r>
        <w:t>Natural objects, Natural history specimens, Minerals</w:t>
        <w:br/>
        <w:t>,</w:t>
        <w:br/>
        <w:t xml:space="preserve">  Geographical:</w:t>
      </w:r>
    </w:p>
    <w:p>
      <w:pPr>
        <w:pStyle w:val="BodyText"/>
      </w:pPr>
    </w:p>
    <w:p>
      <w:pPr>
        <w:pStyle w:val="BodyText"/>
      </w:pPr>
      <w:r>
        <w:t>Indonesia</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"The museum collection of the Koninklijk Bataviaasch Genootschap van Kunsten en Wetenschappen was incorporated into the National Museum of Indonesia after 1962. The society's book collection has been part of the National Library of Indonesia since its establishment in 1980."</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