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abacus as translator on 2025-04-07_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Military and navy_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