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Princessenhof Museum in Leeuwarden. After the museum closed in 2003, the collection became part of the University Museum of the University of Groningen.</w:t>
      </w:r>
    </w:p>
    <w:p>
      <w:pPr>
        <w:pStyle w:val="BodyText"/>
      </w:pPr>
    </w:p>
    <w:p>
      <w:pPr>
        <w:pStyle w:val="BodyText"/>
      </w:pPr>
      <w:r>
        <w:t>Until 2003, the Volkenkundig Museum 'Gerardus van der Leeuw'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Princessenhof Museum in Leeuwarden. After the museum closed in 2003, the collection became part of the University Museum of the Rijksuniversiteit Groningen (University of Groningen, RUG).</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Princessenhof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Princessenhof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BodyText"/>
      </w:pPr>
      <w:r>
        <w:t>_see also: Wetenschap_</w:t>
        <w:br/>
        <w:t>_see also: Wageningen University &amp; Research_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