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(https://archive. org/details/UNIVERSITEITLEIDEN-DIG-KOLONIAAL-WEEKBLAD-1909/page/n357/mode/2up)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(http://www.wikidata.org/entity/Q7981191). Nauta selected various weapons from Africa, Australia and the Pacific to supplement his Indonesian collection. In 1956, the uncertainty came to an end when it was decided to make the Breda museum part of the Rijksmuseum voor Volkenkunde (https://app.colonialcollections. nl/nl/research-guide/https%3A%2F%2Fn2t%252Enet%2Fark%3A%2F27023%2F77c1a0cf982b33b9e88073c4a704049b)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BodyText"/>
      </w:pPr>
      <w:r>
        <w:t>_see also: Military and navy_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