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2024-04-17_</w:t>
        <w:br/>
        <w:t>_last edited by abacus as translator on 2025-03-12_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Description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BodyText"/>
      </w:pPr>
      <w:r>
        <w:t>_see also: Civil servants in colonised territories_</w:t>
        <w:br/>
        <w:t>_see also: Army and navy personnel in colonised territories_</w:t>
        <w:br/>
        <w:t>_see also: The trade in objects from a colonial context_</w:t>
        <w:br/>
        <w:t>_see also: Groote Koninklijke Bazar_</w:t>
        <w:br/>
        <w:t>_see also: Wereldmuseum Leiden_</w:t>
        <w:br/>
        <w:t>_see also: Artis Ethnographic Museum_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Book chapter:</w:t>
      </w:r>
    </w:p>
    <w:p>
      <w:pPr>
        <w:pStyle w:val="BodyText"/>
      </w:pPr>
    </w:p>
    <w:p>
      <w:pPr>
        <w:pStyle w:val="BodyText"/>
      </w:pPr>
    </w:p>
    <w:p>
      <w:pPr>
        <w:pStyle w:val="BodyText"/>
      </w:pPr>
      <w:r>
        <w:t>Publication:</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Collection, Cabinet of curiosities, Museum</w:t>
        <w:br/>
        <w:t>,</w:t>
        <w:br/>
        <w:t xml:space="preserve">  Type of objects:</w:t>
      </w:r>
    </w:p>
    <w:p>
      <w:pPr>
        <w:pStyle w:val="BodyText"/>
      </w:pPr>
    </w:p>
    <w:p>
      <w:pPr>
        <w:pStyle w:val="BodyText"/>
      </w:pPr>
      <w:r>
        <w:t>Ethnographic objects, Decorative art, Naturalia, Numismatics</w:t>
        <w:br/>
        <w:t>,</w:t>
        <w:br/>
        <w:t xml:space="preserve">  Geographical:</w:t>
      </w:r>
    </w:p>
    <w:p>
      <w:pPr>
        <w:pStyle w:val="BodyText"/>
      </w:pPr>
    </w:p>
    <w:p>
      <w:pPr>
        <w:pStyle w:val="BodyText"/>
      </w:pPr>
      <w:r>
        <w:t>China, Indonesia, Japan, North America, Papua New Guinea, Suriname, Turkey, South Africa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Objects originating from the Royal Cabinet of Curiosities are found, among others, at the Wereldmuseum Leiden, the Rijksmuseum, Naturalis Biodiversity Center, Wereldmuseum Rotterdam, the Rijksmuseum of Antiquities, the Leiden University Library, the Smithsonian Institution, and the Rautenstrauch Joest Museum.</w:t>
        <w:br/>
        <w:t>,</w:t>
        <w:br/>
        <w:t xml:space="preserve">  content-type:</w:t>
        <w:br/>
        <w:t xml:space="preserve">  text/markdown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