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2024-05-03_</w:t>
        <w:br/>
        <w:t>_last edited by abacus as translator on 2025-04-07_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Description</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BodyText"/>
      </w:pPr>
      <w:r>
        <w:t>_see also: The trade in objects from a colonial context_</w:t>
        <w:br/>
        <w:t>_see also: Royal Cabinet of Curiosities_</w:t>
        <w:br/>
        <w:t>_see also: Wereldmuseum Leiden_</w:t>
        <w:br/>
        <w:t>_see also: Kunsthandel Van Lier_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Tapestries</w:t>
        <w:br/>
        <w:t>,</w:t>
        <w:br/>
        <w:t xml:space="preserve">  Geographical:</w:t>
      </w:r>
    </w:p>
    <w:p>
      <w:pPr>
        <w:pStyle w:val="BodyText"/>
      </w:pPr>
    </w:p>
    <w:p>
      <w:pPr>
        <w:pStyle w:val="BodyText"/>
      </w:pPr>
      <w:r>
        <w:t>China, Indonesia, Iran, Japan, Oceania, Suriname, Turkey</w:t>
        <w:br/>
        <w:t>,</w:t>
        <w:br/>
        <w:t xml:space="preserve">  Period of activity:</w:t>
        <w:br/>
        <w:t xml:space="preserve">  Year of start:</w:t>
        <w:br/>
        <w:t xml:space="preserve">  1825,</w:t>
        <w:br/>
        <w:t xml:space="preserve">  Year of end:</w:t>
        <w:br/>
        <w:t xml:space="preserve">  1927,</w:t>
        <w:br/>
        <w:t xml:space="preserve">  Collections: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