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Description</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BodyText"/>
      </w:pPr>
      <w:r>
        <w:t>_see also: Civil servants in colonised territories_</w:t>
        <w:br/>
        <w:t>_see also: Wereldmuseum Leiden_</w:t>
        <w:br/>
        <w:t>_see also: Wageningen University &amp; Research_</w:t>
        <w:br/>
        <w:t>_see also: Hoofdcursus Kampen_</w:t>
        <w:br/>
        <w:t>_see also: Volkenkundig Museum Justinus van Nassau_</w:t>
        <w:br/>
        <w:t>_see also: International Colonial and Export Exhibition 1883_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Ehtnografic objects</w:t>
        <w:br/>
        <w:t>,</w:t>
        <w:br/>
        <w:t xml:space="preserve">  Geographical:</w:t>
      </w:r>
    </w:p>
    <w:p>
      <w:pPr>
        <w:pStyle w:val="BodyText"/>
      </w:pPr>
    </w:p>
    <w:p>
      <w:pPr>
        <w:pStyle w:val="BodyText"/>
      </w:pPr>
      <w:r>
        <w:t>Indonesia</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"After the closing of Museum Nusantara in 2013, the collection was divided among different museums. 1,500 objects were repatriated to Indonesia. The whole collection can be consulted on the still existing Museum Nusantara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