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Description</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(http://www.wikidata.org/entity/Q2659534),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(https://cc.museon-omniversum.nl/#/query/aa7bc606-74fd-43ad-97e6-5cdff4e3fb47),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BodyText"/>
      </w:pPr>
      <w:r>
        <w:t>_see also: Civil servants_</w:t>
        <w:br/>
        <w:t>_see also: Science_</w:t>
        <w:br/>
        <w:t>_see also: Artis Ethnographic Museum_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Natural objects, Natural history specimens, Animal specimens, Minerals, Fossils, Archaeological objects</w:t>
        <w:br/>
        <w:t>,</w:t>
        <w:br/>
        <w:t xml:space="preserve">  Geographical:</w:t>
      </w:r>
    </w:p>
    <w:p>
      <w:pPr>
        <w:pStyle w:val="BodyText"/>
      </w:pPr>
    </w:p>
    <w:p>
      <w:pPr>
        <w:pStyle w:val="BodyText"/>
      </w:pPr>
      <w:r>
        <w:t>Indonesia, Tibet, Nepal, Thailand, India, Asia, Northern Africa, Southern Africa, Central Africa, Eastern Africa, West Africa, North America, Suriname, Central America, South America, Papua New Guinea, Oceania</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"The Museon has a similar collection website to the Wereldmuseum. The entire collection is accessible and divided into ‘Nature’, ‘Culture’, ‘Technology’ and ‘Visual material’."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