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2024-07-10_</w:t>
        <w:br/>
        <w:t>_last edited by abacus as translator on 2025-04-24_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Description</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BodyText"/>
      </w:pPr>
      <w:r>
        <w:t>_see also: Sources_</w:t>
        <w:br/>
        <w:t>_see also: Civil servants_</w:t>
        <w:br/>
        <w:t>_see also: Science_</w:t>
        <w:br/>
        <w:t>_see also: Royal Cabinet of Curiosities_</w:t>
        <w:br/>
        <w:t>_see also: Wereldmuseum Leiden_</w:t>
        <w:br/>
        <w:t>_see also: Wageningen University &amp; Research_</w:t>
        <w:br/>
        <w:t>_see also: Koninklijk Bataviaasch Genootschap van Wetenschappen en Kunsten_</w:t>
        <w:br/>
        <w:t>_see also: C.G.C. Reinwardt_</w:t>
        <w:br/>
        <w:t>_see also: Museon-Omniversum_</w:t>
        <w:br/>
        <w:t>_see also: International Colonial and Export Exhibition 1883_</w:t>
      </w:r>
    </w:p>
    <w:p>
      <w:pPr>
        <w:pStyle w:val="BodyText"/>
      </w:pPr>
    </w:p>
    <w:p>
      <w:pPr>
        <w:pStyle w:val="Heading1"/>
      </w:pPr>
      <w:r>
        <w:t>Primary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Magazine: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Research center, Collecting, Natural History Museum</w:t>
        <w:br/>
        <w:t>,</w:t>
        <w:br/>
        <w:t xml:space="preserve">  Type of objects:</w:t>
      </w:r>
    </w:p>
    <w:p>
      <w:pPr>
        <w:pStyle w:val="BodyText"/>
      </w:pPr>
    </w:p>
    <w:p>
      <w:pPr>
        <w:pStyle w:val="BodyText"/>
      </w:pPr>
      <w:r>
        <w:t>Natural objects, Natural history specimens, Animal specimens, Minerals, Fossils</w:t>
        <w:br/>
        <w:t>,</w:t>
        <w:br/>
        <w:t xml:space="preserve">  Geographical:</w:t>
      </w:r>
    </w:p>
    <w:p>
      <w:pPr>
        <w:pStyle w:val="BodyText"/>
      </w:pPr>
    </w:p>
    <w:p>
      <w:pPr>
        <w:pStyle w:val="BodyText"/>
      </w:pPr>
      <w:r>
        <w:t>Europe, Asia, Africa, Oceania, North America, South America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