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2024-09-05_</w:t>
        <w:br/>
        <w:t>_last edited by abacus as translator on 2025-04-24_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Description</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BodyText"/>
      </w:pPr>
      <w:r>
        <w:t>_see also: Sources_</w:t>
        <w:br/>
        <w:t>_see also: Civil servants in colonised territories_</w:t>
        <w:br/>
        <w:t>_see also: Army and navy personnel in colonised territories_</w:t>
        <w:br/>
        <w:t>_see also: Scientific research in colonised territories_</w:t>
        <w:br/>
        <w:t>_see also: The trade in objects from a colonial context_</w:t>
        <w:br/>
        <w:t>_see also: Royal Cabinet of Curiosities_</w:t>
        <w:br/>
        <w:t>_see also: Royal Asian Art Society in the Netherlands_</w:t>
        <w:br/>
        <w:t>_see also: Wereldmuseum Amsterdam_</w:t>
        <w:br/>
        <w:t>_see also: Wereldmuseum Leiden_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Collection</w:t>
        <w:br/>
        <w:t>,</w:t>
        <w:br/>
        <w:t xml:space="preserve">  Type of objects:</w:t>
      </w:r>
    </w:p>
    <w:p>
      <w:pPr>
        <w:pStyle w:val="BodyText"/>
      </w:pPr>
    </w:p>
    <w:p>
      <w:pPr>
        <w:pStyle w:val="BodyText"/>
      </w:pPr>
      <w:r>
        <w:t>Ethnographic objects, Paintings, Decorative arts</w:t>
        <w:br/>
        <w:t>,</w:t>
        <w:br/>
        <w:t xml:space="preserve">  Geographical:</w:t>
      </w:r>
    </w:p>
    <w:p>
      <w:pPr>
        <w:pStyle w:val="BodyText"/>
      </w:pPr>
    </w:p>
    <w:p>
      <w:pPr>
        <w:pStyle w:val="BodyText"/>
      </w:pPr>
      <w:r>
        <w:t>Indonesia,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"The Rijksmuseum collection within the data hub is a selection of objects originating from a colonial context."</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