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2025-04-24</w:t>
        <w:br/>
        <w:t xml:space="preserve">        (applies to section: Main-text; Sources)_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Description</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Scientific research in colonised territories_</w:t>
        <w:br/>
        <w:t>_see also: The trade in objects from a colonial context_</w:t>
        <w:br/>
        <w:t>_see also: Royal Cabinet of Curiosities_</w:t>
        <w:br/>
        <w:t>_see also: Royal Asian Art Society in the Netherlands_</w:t>
        <w:br/>
        <w:t>_see also: Wereldmuseum Amsterdam_</w:t>
        <w:br/>
        <w:t>_see also: Wereldmuseum Leiden_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Collection</w:t>
        <w:br/>
        <w:t>,</w:t>
        <w:br/>
        <w:t xml:space="preserve">  Type of objects:</w:t>
      </w:r>
    </w:p>
    <w:p>
      <w:pPr>
        <w:pStyle w:val="BodyText"/>
      </w:pPr>
    </w:p>
    <w:p>
      <w:pPr>
        <w:pStyle w:val="BodyText"/>
      </w:pPr>
      <w:r>
        <w:t>Ethnographic objects, Paintings, Decorative arts</w:t>
        <w:br/>
        <w:t>,</w:t>
        <w:br/>
        <w:t xml:space="preserve">  Geographical:</w:t>
      </w:r>
    </w:p>
    <w:p>
      <w:pPr>
        <w:pStyle w:val="BodyText"/>
      </w:pPr>
    </w:p>
    <w:p>
      <w:pPr>
        <w:pStyle w:val="BodyText"/>
      </w:pPr>
      <w:r>
        <w:t>Indonesia,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"The Rijksmuseum collection within the data hub is a selection of objects originating from a colonial context."</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