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Abacus as translator on 2025-04-28</w:t>
        <w:br/>
        <w:t xml:space="preserve">        (applies to section: Main-text; Sources)_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Scientific research in colonised territories_</w:t>
        <w:br/>
        <w:t>_see also: Wereldmuseum Leiden_</w:t>
        <w:br/>
        <w:t>_see also: Wereldmuseum Amsterdam_</w:t>
        <w:br/>
        <w:t>_see also: Wereldmuseum Berg en Dal_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"Since 2017, the Wereldmuseum Rotterdam has been a part of the National Museum of World Cultures association. However, the Municipality of Rotterdam is still officially the owner of the museum's collection."</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