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2024-08-22_</w:t>
        <w:br/>
        <w:t>_last edited by abacus as translator on 2025-04-28_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BodyText"/>
      </w:pPr>
      <w:r>
        <w:t>_see also: Sources_</w:t>
        <w:br/>
        <w:t>_see also: Trade_</w:t>
        <w:br/>
        <w:t>_see also: Military and navy_</w:t>
        <w:br/>
        <w:t>_see also: Science_</w:t>
        <w:br/>
        <w:t>_see also: Wereldmuseum Leiden_</w:t>
        <w:br/>
        <w:t>_see also: Wereldmuseum Amsterdam_</w:t>
        <w:br/>
        <w:t>_see also: Wereldmuseum Berg en Dal_</w:t>
        <w:br/>
        <w:t>_see also: International Colonial and Export Exhibition 1883_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"Since 2017, the Wereldmuseum Rotterdam has been a part of the National Museum of World Cultures association. However, the Municipality of Rotterdam is still officially the owner of the museum's collection."</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