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Collection, Museum</w:t>
        <w:br/>
        <w:t>,</w:t>
        <w:br/>
        <w:t xml:space="preserve">  Soort objecten:</w:t>
      </w:r>
    </w:p>
    <w:p>
      <w:pPr>
        <w:pStyle w:val="BodyText"/>
      </w:pPr>
    </w:p>
    <w:p>
      <w:pPr>
        <w:pStyle w:val="BodyText"/>
      </w:pPr>
      <w:r>
        <w:t>Ethnographic objects</w:t>
        <w:br/>
        <w:t>,</w:t>
        <w:br/>
        <w:t xml:space="preserve">  Geografisch:</w:t>
      </w:r>
    </w:p>
    <w:p>
      <w:pPr>
        <w:pStyle w:val="BodyText"/>
      </w:pPr>
    </w:p>
    <w:p>
      <w:pPr>
        <w:pStyle w:val="BodyText"/>
      </w:pPr>
      <w:r>
        <w:t>Indonesia</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The Agricultural College collection was disposed of from about 1962 and dispersed around various institutions. Objects are currently in the Wereldmuseum Amsterdam, Wereldmuseum Leiden, Wereldmuseum Rotterdam and Museum Bronbeek. Objects may also be in other museums, especially when they were part of the collection of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