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ListBullet"/>
      </w:pPr>
      <w:r>
        <w:t>Bronnen</w:t>
      </w:r>
    </w:p>
    <w:p>
      <w:pPr>
        <w:pStyle w:val="ListBullet"/>
      </w:pPr>
      <w:r>
        <w:t>Het Nederlandse restitutiebeleid</w:t>
      </w:r>
    </w:p>
    <w:p>
      <w:pPr>
        <w:pStyle w:val="ListBullet"/>
      </w:pPr>
      <w:r>
        <w:t>Selecteren en afbakenen</w:t>
      </w:r>
    </w:p>
    <w:p>
      <w:pPr>
        <w:pStyle w:val="ListBullet"/>
      </w:pPr>
      <w:r>
        <w:t>Verslagleggen</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