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Reporting</w:t>
      </w:r>
    </w:p>
    <w:p>
      <w:pPr>
        <w:pStyle w:val="ListBullet"/>
      </w:pPr>
      <w:r>
        <w:t>The Dutch restitution policy</w:t>
      </w:r>
    </w:p>
    <w:p>
      <w:pPr>
        <w:pStyle w:val="BodyText"/>
      </w:pPr>
    </w:p>
    <w:p>
      <w:pPr>
        <w:pStyle w:val="BodyText"/>
      </w:pPr>
      <w:r>
        <w:t>_first edited by wiebe reints as original_author on 2024-04-25_</w:t>
        <w:br/>
        <w:t>_last edited by abacus as translator on 2025-03-12</w:t>
        <w:br/>
        <w:t>(applies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