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Zendelingen en missionarissen in gekoloniseerde gebieden</w:t>
      </w:r>
    </w:p>
    <w:p>
      <w:pPr>
        <w:pStyle w:val="ListBullet"/>
      </w:pPr>
      <w:r>
        <w:t>Koninklijk Bataviaasch Genootschap van Kunsten en Wetenschappen</w:t>
      </w:r>
    </w:p>
    <w:p>
      <w:pPr>
        <w:pStyle w:val="ListBullet"/>
      </w:pPr>
      <w:r>
        <w:t>Etnografisch Museum Artis</w:t>
      </w:r>
    </w:p>
    <w:p>
      <w:pPr>
        <w:pStyle w:val="ListBullet"/>
      </w:pPr>
      <w:r>
        <w:t>Koninklijk Instituut voor Taal- Land- en Volkenkunde</w:t>
      </w:r>
    </w:p>
    <w:p>
      <w:pPr>
        <w:pStyle w:val="ListBullet"/>
      </w:pPr>
      <w:r>
        <w:t>Naturalis Biodiversity Center</w:t>
      </w:r>
    </w:p>
    <w:p>
      <w:pPr>
        <w:pStyle w:val="ListBullet"/>
      </w:pPr>
      <w:r>
        <w:t>Wereldmuseum Amsterdam</w:t>
      </w:r>
    </w:p>
    <w:p>
      <w:pPr>
        <w:pStyle w:val="ListBullet"/>
      </w:pPr>
      <w:r>
        <w:t>Wereldmuseum Leiden</w:t>
      </w:r>
    </w:p>
    <w:p>
      <w:pPr>
        <w:pStyle w:val="ListBullet"/>
      </w:pPr>
      <w:r>
        <w:t>Wereldmuseum Rotterdam</w:t>
      </w:r>
    </w:p>
    <w:p>
      <w:pPr>
        <w:pStyle w:val="ListBullet"/>
      </w:pPr>
      <w:r>
        <w:t>Wageningen University &amp; Research</w:t>
      </w:r>
    </w:p>
    <w:p>
      <w:pPr>
        <w:pStyle w:val="ListBullet"/>
      </w:pPr>
      <w:r>
        <w:t>Rijksmuseum Amsterdam</w:t>
      </w:r>
    </w:p>
    <w:p>
      <w:pPr>
        <w:pStyle w:val="ListBullet"/>
      </w:pPr>
      <w:r>
        <w:t>Rijksmuseum van Oudheden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Volkenkundig Museum 'Gerardus van der Leeuw'</w:t>
      </w:r>
    </w:p>
    <w:p>
      <w:pPr>
        <w:pStyle w:val="BodyText"/>
      </w:pPr>
    </w:p>
    <w:p>
      <w:pPr>
        <w:pStyle w:val="Heading1"/>
      </w:pPr>
      <w:r>
        <w:t>Secondary sources</w:t>
      </w:r>
    </w:p>
    <w:p>
      <w:pPr>
        <w:pStyle w:val="BodyText"/>
      </w:pPr>
    </w:p>
    <w:p>
      <w:pPr>
        <w:pStyle w:val="BodyText"/>
      </w:pPr>
      <w:r>
        <w:t>Boek:</w:t>
      </w:r>
    </w:p>
    <w:p>
      <w:pPr>
        <w:pStyle w:val="BodyText"/>
      </w:pPr>
    </w:p>
    <w:p>
      <w:pPr>
        <w:pStyle w:val="BodyText"/>
      </w:pPr>
      <w:r>
        <w:t>Kuitenbrouwer, M. Tussen oriëntalisme en wetenschap: het Koninklijk Instituut voor Taal-, Land- en Volkenkunde in historisch verband 1851-2001. Leiden: KITLV Uitgeverij, 2001.</w:t>
        <w:br/>
        <w:t xml:space="preserve">  _Historiografie van het KITLV uit 2001 die honderdvijftig jaar KITLV-geschiedenis behandelt, maar tegelijkertijd een geschiedenis van de wetenschapsbeoefening over de (voormalige) koloniën is. De Engelse versie, Dutch scholarship in the age of empire and beyond, die niet een één-op-één vertaling is, is ook digitaal beschikbaar._</w:t>
      </w:r>
    </w:p>
    <w:p>
      <w:pPr>
        <w:pStyle w:val="BodyText"/>
      </w:pP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r>
    </w:p>
    <w:p>
      <w:pPr>
        <w:pStyle w:val="BodyText"/>
      </w:pPr>
    </w:p>
    <w:p>
      <w:pPr>
        <w:pStyle w:val="BodyText"/>
      </w:pPr>
    </w:p>
    <w:p>
      <w:pPr>
        <w:pStyle w:val="BodyText"/>
      </w:pPr>
      <w:r>
        <w:t>Artikel:</w:t>
      </w:r>
    </w:p>
    <w:p>
      <w:pPr>
        <w:pStyle w:val="BodyText"/>
      </w:pPr>
    </w:p>
    <w:p>
      <w:pPr>
        <w:pStyle w:val="BodyText"/>
      </w:pPr>
      <w:r>
        <w:t>Weber, Andreas. ‘Collecting Colonial Nature: European Naturalists and the Netherlands Indies in the Early Nineteenth Century’. BMGN - Low Countries Historical Review 134, nr. 3 (26 september 2019): 72-95.</w:t>
        <w:br/>
        <w:t xml:space="preserve">  _Artikel over de geschiedenis van de Natuurkundige Commissie voor Nederlandsch-Indië._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