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aid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Army and navy personnel in colonised territories</w:t>
      </w:r>
    </w:p>
    <w:p>
      <w:pPr>
        <w:pStyle w:val="ListBullet"/>
      </w:pPr>
      <w:r>
        <w:t>Koninklijk Bataviaasch Genootschap van Kunsten en Wetenschappen</w:t>
      </w:r>
    </w:p>
    <w:p>
      <w:pPr>
        <w:pStyle w:val="ListBullet"/>
      </w:pPr>
      <w:r>
        <w:t>Scientific research in colonised territories</w:t>
      </w:r>
    </w:p>
    <w:p>
      <w:pPr>
        <w:pStyle w:val="ListBullet"/>
      </w:pPr>
      <w:r>
        <w:t>The trade in objects from a colonial context</w:t>
      </w:r>
    </w:p>
    <w:p>
      <w:pPr>
        <w:pStyle w:val="ListBullet"/>
      </w:pPr>
      <w:r>
        <w:t>Royal Netherlands Institute of Southeast Asian and Caribbean Studies (KITLV)</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C.G.C. Reinwardt</w:t>
      </w:r>
    </w:p>
    <w:p>
      <w:pPr>
        <w:pStyle w:val="ListBullet"/>
      </w:pPr>
      <w:r>
        <w:t>Museum Nusantara</w:t>
      </w:r>
    </w:p>
    <w:p>
      <w:pPr>
        <w:pStyle w:val="ListBullet"/>
      </w:pPr>
      <w:r>
        <w:t>Museon-Omniversum</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Almanac:</w:t>
      </w:r>
    </w:p>
    <w:p>
      <w:pPr>
        <w:pStyle w:val="BodyText"/>
      </w:pPr>
    </w:p>
    <w:p>
      <w:pPr>
        <w:pStyle w:val="BodyText"/>
      </w:pPr>
      <w:r>
        <w:t>Surinaamsche Almanak (1819-1846, 1887-1954)</w:t>
        <w:br/>
        <w:t xml:space="preserve">  _Search for title 'Surinaamsche Almanak'. All editions of the Surinaamsche Almanak between 1819-1846 and 1887-1954 can be accessed online through the website of the Digital Library of Dutch Literature._</w:t>
      </w:r>
    </w:p>
    <w:p>
      <w:pPr>
        <w:pStyle w:val="BodyText"/>
      </w:pPr>
    </w:p>
    <w:p>
      <w:pPr>
        <w:pStyle w:val="BodyText"/>
      </w:pPr>
    </w:p>
    <w:p>
      <w:pPr>
        <w:pStyle w:val="BodyText"/>
      </w:pPr>
      <w:r>
        <w:t>Almanac:</w:t>
      </w:r>
    </w:p>
    <w:p>
      <w:pPr>
        <w:pStyle w:val="BodyText"/>
      </w:pPr>
    </w:p>
    <w:p>
      <w:pPr>
        <w:pStyle w:val="BodyText"/>
      </w:pPr>
      <w:r>
        <w:t>Regeeringsalmanak voor Nederlandsch-Indië</w:t>
        <w:br/>
        <w:t xml:space="preserve">  _Via Delpher, the editions from 1865 until 1942 can be found by selecting the title 'Regeringsalmanak Nederlandsch-Indië' within the periodicals section. At the Staatsbiblitohek zu Berlin, the editions from 1865 until 1912 can be found by searching for PPN718684745._</w:t>
      </w:r>
    </w:p>
    <w:p>
      <w:pPr>
        <w:pStyle w:val="BodyText"/>
      </w:pPr>
    </w:p>
    <w:p>
      <w:pPr>
        <w:pStyle w:val="BodyText"/>
      </w:pPr>
    </w:p>
    <w:p>
      <w:pPr>
        <w:pStyle w:val="BodyText"/>
      </w:pPr>
      <w:r>
        <w:t>Almanac:</w:t>
      </w:r>
    </w:p>
    <w:p>
      <w:pPr>
        <w:pStyle w:val="BodyText"/>
      </w:pPr>
    </w:p>
    <w:p>
      <w:pPr>
        <w:pStyle w:val="BodyText"/>
      </w:pPr>
      <w:r>
        <w:t>Almanak voor de Nederlandsche West-Indische bezittingen, en de kust van Guinea (1856-1861)</w:t>
        <w:br/>
        <w:t xml:space="preserve">  _Search for the title Almanak voor de Nederlandsche West-Indische bezittingen, en de kust van Guinea. The 1856, 1858-1860 editions can be accessed online via the website of the Digital Library of Dutch Literature._</w:t>
      </w:r>
    </w:p>
    <w:p>
      <w:pPr>
        <w:pStyle w:val="BodyText"/>
      </w:pPr>
    </w:p>
    <w:p>
      <w:pPr>
        <w:pStyle w:val="BodyText"/>
      </w:pPr>
    </w:p>
    <w:p>
      <w:pPr>
        <w:pStyle w:val="BodyText"/>
      </w:pPr>
      <w:r>
        <w:t>Parliamentary papers:</w:t>
      </w:r>
    </w:p>
    <w:p>
      <w:pPr>
        <w:pStyle w:val="BodyText"/>
      </w:pPr>
    </w:p>
    <w:p>
      <w:pPr>
        <w:pStyle w:val="BodyText"/>
      </w:pPr>
      <w:r>
        <w:t>Koloniaal Verslag</w:t>
        <w:br/>
        <w:t xml:space="preserve">  _Go to the selection titled 'Kamerstukken' (Parliamentary Papers) and search for ‘Koloniaal Verslag’ (Colonial Report)._</w:t>
      </w:r>
    </w:p>
    <w:p>
      <w:pPr>
        <w:pStyle w:val="BodyText"/>
      </w:pPr>
    </w:p>
    <w:p>
      <w:pPr>
        <w:pStyle w:val="BodyText"/>
      </w:pPr>
    </w:p>
    <w:p>
      <w:pPr>
        <w:pStyle w:val="BodyText"/>
      </w:pPr>
      <w:r>
        <w:t>Archive:</w:t>
      </w:r>
    </w:p>
    <w:p>
      <w:pPr>
        <w:pStyle w:val="BodyText"/>
      </w:pPr>
    </w:p>
    <w:p>
      <w:pPr>
        <w:pStyle w:val="BodyText"/>
      </w:pPr>
      <w:r>
        <w:t>NL-HaNA 2.10.02</w:t>
        <w:br/>
        <w:t xml:space="preserve">  _Complete inventory of the archives of the Ministry of Colonies, 1850-1900._</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r>
        <w:t>Civil servants in the Dutch East Indies, 1814-1952</w:t>
        <w:br/>
        <w:t xml:space="preserve">  _Research aid from the National Archives for archival records on civil servants in the Dutch East Indies. Tip: the data in the service registers are sometimes continued on another page. In that case, a note is placed at the bottom of the page: ‘zie verder’ (see further) with the relevant page number._</w:t>
      </w:r>
    </w:p>
    <w:p>
      <w:pPr>
        <w:pStyle w:val="BodyText"/>
      </w:pPr>
    </w:p>
    <w:p>
      <w:pPr>
        <w:pStyle w:val="BodyText"/>
      </w:pPr>
    </w:p>
    <w:p>
      <w:pPr>
        <w:pStyle w:val="BodyText"/>
      </w:pPr>
      <w:r>
        <w:t>Research aid:</w:t>
      </w:r>
    </w:p>
    <w:p>
      <w:pPr>
        <w:pStyle w:val="BodyText"/>
      </w:pPr>
    </w:p>
    <w:p>
      <w:pPr>
        <w:pStyle w:val="BodyText"/>
      </w:pPr>
      <w:r>
        <w:t>Officials in the West Indies: Suriname and the Antilles 1815-1936</w:t>
        <w:br/>
        <w:t xml:space="preserve">  _Research aid from the National Archives for archival records on civil servants in the West Indies, Suriname and the Antilles. Tip: the information in the service registers is sometimes continued on another page. In that case, a note is placed at the bottom of the page: ‘zie verder’ (see further) with the relevant page number._</w:t>
      </w:r>
    </w:p>
    <w:p>
      <w:pPr>
        <w:pStyle w:val="BodyText"/>
      </w:pPr>
    </w:p>
    <w:p>
      <w:pPr>
        <w:pStyle w:val="BodyText"/>
      </w:pPr>
    </w:p>
    <w:p>
      <w:pPr>
        <w:pStyle w:val="BodyText"/>
      </w:pPr>
      <w:r>
        <w:t>Research aid:</w:t>
      </w:r>
    </w:p>
    <w:p>
      <w:pPr>
        <w:pStyle w:val="BodyText"/>
      </w:pPr>
    </w:p>
    <w:p>
      <w:pPr>
        <w:pStyle w:val="BodyText"/>
      </w:pPr>
      <w:r>
        <w:t>Overzicht van overheidsarchieven in het Nationaal Archief met betrekking tot Nederlands-Indië.</w:t>
        <w:br/>
        <w:t xml:space="preserve">  _Research aid from the National Archives with an overview of all archive accessions related to the Dutch East Indies and further information on accessing these archives._</w:t>
      </w:r>
    </w:p>
    <w:p>
      <w:pPr>
        <w:pStyle w:val="BodyText"/>
      </w:pPr>
    </w:p>
    <w:p>
      <w:pPr>
        <w:pStyle w:val="BodyText"/>
      </w:pPr>
    </w:p>
    <w:p>
      <w:pPr>
        <w:pStyle w:val="BodyText"/>
      </w:pPr>
      <w:r>
        <w:t>Book:</w:t>
      </w:r>
    </w:p>
    <w:p>
      <w:pPr>
        <w:pStyle w:val="BodyText"/>
      </w:pPr>
    </w:p>
    <w:p>
      <w:pPr>
        <w:pStyle w:val="BodyText"/>
      </w:pPr>
      <w:r>
        <w:t>Fasseur, C. De indologen: ambtenaren voor de Oost 1825-1950. Amsterdam: Aula, 2003.</w:t>
        <w:br/>
        <w:t xml:space="preserve">  _Book (in Dutch) about the training of civil servants for the Dutch East Indies. The author discusses the background and origins of the students and teachers._</w:t>
      </w:r>
    </w:p>
    <w:p>
      <w:pPr>
        <w:pStyle w:val="BodyText"/>
      </w:pPr>
    </w:p>
    <w:p>
      <w:pPr>
        <w:pStyle w:val="BodyText"/>
      </w:pPr>
    </w:p>
    <w:p>
      <w:pPr>
        <w:pStyle w:val="BodyText"/>
      </w:pPr>
      <w:r>
        <w:t>Book:</w:t>
      </w:r>
    </w:p>
    <w:p>
      <w:pPr>
        <w:pStyle w:val="BodyText"/>
      </w:pPr>
    </w:p>
    <w:p>
      <w:pPr>
        <w:pStyle w:val="BodyText"/>
      </w:pPr>
      <w:r>
        <w:t>Graaff, M.G.H.A. de. Gids voor onderzoek in het archief van het Ministerie van Koloniën in beheer bij het Nationaal Archief, 1814-1951. Den Haag, 2015.</w:t>
        <w:br/>
        <w:t xml:space="preserve">  _Guide (in Dutch) to conducting research in the archives of the Dutch Ministry of Colonies._</w:t>
      </w:r>
    </w:p>
    <w:p>
      <w:pPr>
        <w:pStyle w:val="BodyText"/>
      </w:pPr>
    </w:p>
    <w:p>
      <w:pPr>
        <w:pStyle w:val="BodyText"/>
      </w:pPr>
    </w:p>
    <w:p>
      <w:pPr>
        <w:pStyle w:val="BodyText"/>
      </w:pPr>
      <w:r>
        <w:t>Book:</w:t>
      </w:r>
    </w:p>
    <w:p>
      <w:pPr>
        <w:pStyle w:val="BodyText"/>
      </w:pPr>
    </w:p>
    <w:p>
      <w:pPr>
        <w:pStyle w:val="BodyText"/>
      </w:pPr>
      <w:r>
        <w:t>Doel, H. W. van den. De Stille Macht: Het Europese Binnenlands Bestuur Op Java En Madoera, 1808-1942. Amsterdam: Bert Bakker, 1994.</w:t>
        <w:br/>
        <w:t xml:space="preserve">  _Book about the development of the Dutch colonial administration in Indonesia from 1808 to 1942._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