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Christian missionaries in colonised territories</w:t>
      </w:r>
    </w:p>
    <w:p>
      <w:pPr>
        <w:pStyle w:val="ListBullet"/>
      </w:pPr>
      <w:r>
        <w:t>Koninklijk Bataviaasch Genootschap van Kunsten en Wetenschappen</w:t>
      </w:r>
    </w:p>
    <w:p>
      <w:pPr>
        <w:pStyle w:val="ListBullet"/>
      </w:pPr>
      <w:r>
        <w:t>Artis Etnographic Museum</w:t>
      </w:r>
    </w:p>
    <w:p>
      <w:pPr>
        <w:pStyle w:val="ListBullet"/>
      </w:pPr>
      <w:r>
        <w:t>Royal Netherlands Institute of Southeast Asian and Caribbean Studies (KITLV)</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Leiden</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 and Harry A. Poeze. Dutch Scholarship in the Age of Empire and beyond: KITLV : The Royal Netherlands Institute of Southeast Asian and Caribbean Studies, 1851-2011. Verhandelingen van Het Koninklijk Instituut Voor Taal-, Land- En Volkenkunde. Leiden: Brill, 2013.</w:t>
        <w:br/>
        <w:t xml:space="preserve">  _Historiography of the KITLV that covers 150 years of KITLV history but is at the same time a history of scientific practice in the (former) Dutch colonies. This English version is not a one-on-one translation of the 2001 Dutch original Tussen oriëntalisme en wetenschap._</w:t>
      </w:r>
    </w:p>
    <w:p>
      <w:pPr>
        <w:pStyle w:val="BodyText"/>
      </w:pPr>
    </w:p>
    <w:p>
      <w:pPr>
        <w:pStyle w:val="BodyText"/>
      </w:pPr>
    </w:p>
    <w:p>
      <w:pPr>
        <w:pStyle w:val="BodyText"/>
      </w:pPr>
      <w:r>
        <w:t>Book:</w:t>
      </w:r>
    </w:p>
    <w:p>
      <w:pPr>
        <w:pStyle w:val="BodyText"/>
      </w:pPr>
    </w:p>
    <w:p>
      <w:pPr>
        <w:pStyle w:val="BodyText"/>
      </w:pPr>
      <w:r>
        <w:t>Holthuis, Lipke. 1820 - 1958 : Rijksmuseum van Natuurlijke Historie, 1995.</w:t>
        <w:br/>
        <w:t xml:space="preserve">  _Book (in Dutch) from 1995 describing the history of the former Nationaal Natuurhistorisch Museum from 1820 to 1958. Contains structured information about the building of the museum collection and the curators of the time._</w:t>
      </w:r>
    </w:p>
    <w:p>
      <w:pPr>
        <w:pStyle w:val="BodyText"/>
      </w:pPr>
    </w:p>
    <w:p>
      <w:pPr>
        <w:pStyle w:val="BodyText"/>
      </w:pPr>
    </w:p>
    <w:p>
      <w:pPr>
        <w:pStyle w:val="BodyText"/>
      </w:pPr>
      <w:r>
        <w:t>Article:</w:t>
      </w:r>
    </w:p>
    <w:p>
      <w:pPr>
        <w:pStyle w:val="BodyText"/>
      </w:pPr>
    </w:p>
    <w:p>
      <w:pPr>
        <w:pStyle w:val="BodyText"/>
      </w:pPr>
      <w:r>
        <w:t>Weber, Andreas. ‘Collecting Colonial Nature: European Naturalists and the Netherlands Indies in the Early Nineteenth Century’. BMGN - Low Countries Historical Review 134, no. 3 (26 September 2019): 72–95.</w:t>
        <w:br/>
        <w:t xml:space="preserve">  _Article on the history of the Natuurkundige Commissie voor Nederlandsch-Indië (Committee for Natural History of the Netherlands Indies)._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2024-08-21_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