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Bataviaasch Genootschap van Wetenschappen en Kunsten</w:t>
      </w:r>
    </w:p>
    <w:p>
      <w:pPr>
        <w:pStyle w:val="ListBullet"/>
      </w:pPr>
      <w:r>
        <w:t>Wereldmuseum Leiden</w:t>
      </w:r>
    </w:p>
    <w:p>
      <w:pPr>
        <w:pStyle w:val="ListBullet"/>
      </w:pPr>
      <w:r>
        <w:t>Aruba, Bonaire en Curaçao</w:t>
      </w:r>
    </w:p>
    <w:p>
      <w:pPr>
        <w:pStyle w:val="ListBullet"/>
      </w:pPr>
      <w:r>
        <w:t>Saba, Sint Eustatius en Sint Maarten</w:t>
      </w:r>
    </w:p>
    <w:p>
      <w:pPr>
        <w:pStyle w:val="BodyText"/>
      </w:pPr>
    </w:p>
    <w:p>
      <w:pPr>
        <w:pStyle w:val="Heading1"/>
      </w:pPr>
      <w:r>
        <w:t>Primary sources</w:t>
      </w:r>
    </w:p>
    <w:p>
      <w:pPr>
        <w:pStyle w:val="BodyText"/>
      </w:pPr>
    </w:p>
    <w:p>
      <w:pPr>
        <w:pStyle w:val="BodyText"/>
      </w:pPr>
      <w:r>
        <w:t>Collectiegids:</w:t>
      </w:r>
    </w:p>
    <w:p>
      <w:pPr>
        <w:pStyle w:val="BodyText"/>
      </w:pPr>
    </w:p>
    <w:p>
      <w:pPr>
        <w:pStyle w:val="BodyText"/>
      </w:pPr>
      <w:r>
        <w:t>Library of the Royal Netherlands Institute of Southeast Asian and Caribbean Studies (KITLV)</w:t>
        <w:br/>
        <w:t xml:space="preserve">  _Digitale toegang tot de collectie van het KITLV bij de universiteitsbibliotheek Leiden. Deze collectiegids geeft een uitgebreid overzicht van al het KITLV materiaal dat beschikbaar is via de UBL._</w:t>
      </w:r>
    </w:p>
    <w:p>
      <w:pPr>
        <w:pStyle w:val="BodyText"/>
      </w:pPr>
    </w:p>
    <w:p>
      <w:pPr>
        <w:pStyle w:val="BodyText"/>
      </w:pPr>
    </w:p>
    <w:p>
      <w:pPr>
        <w:pStyle w:val="BodyText"/>
      </w:pPr>
      <w:r>
        <w:t>Archieftoegang:</w:t>
      </w:r>
    </w:p>
    <w:p>
      <w:pPr>
        <w:pStyle w:val="BodyText"/>
      </w:pPr>
    </w:p>
    <w:p>
      <w:pPr>
        <w:pStyle w:val="BodyText"/>
      </w:pPr>
      <w:r>
        <w:t>Aziatische manuscripten (KITLV)</w:t>
        <w:br/>
        <w:t xml:space="preserve">  _Toegang tot de collectie Aziatische manuscripten van het KITLV in de catalogus van de universiteitsbibliotheek Leiden. Deze collectie is ook vindbaar met het kenmerk 'D Or'._</w:t>
      </w:r>
    </w:p>
    <w:p>
      <w:pPr>
        <w:pStyle w:val="BodyText"/>
      </w:pPr>
    </w:p>
    <w:p>
      <w:pPr>
        <w:pStyle w:val="BodyText"/>
      </w:pPr>
    </w:p>
    <w:p>
      <w:pPr>
        <w:pStyle w:val="BodyText"/>
      </w:pPr>
      <w:r>
        <w:t>Archieftoegang:</w:t>
      </w:r>
    </w:p>
    <w:p>
      <w:pPr>
        <w:pStyle w:val="BodyText"/>
      </w:pPr>
    </w:p>
    <w:p>
      <w:pPr>
        <w:pStyle w:val="BodyText"/>
      </w:pPr>
      <w:r>
        <w:t>Europese manuscripten (KITLV)</w:t>
        <w:br/>
        <w:t xml:space="preserve">  _Toegang tot de collectie Europese manuscripten van het KITLV in de catalogus van de universiteitsbibliotheek Leiden. Deze collectie is ook vindbaar met het kenmerk 'D H'._</w:t>
      </w:r>
    </w:p>
    <w:p>
      <w:pPr>
        <w:pStyle w:val="BodyText"/>
      </w:pPr>
    </w:p>
    <w:p>
      <w:pPr>
        <w:pStyle w:val="BodyText"/>
      </w:pPr>
    </w:p>
    <w:p>
      <w:pPr>
        <w:pStyle w:val="BodyText"/>
      </w:pPr>
      <w:r>
        <w:t>Digitale collectie:</w:t>
      </w:r>
    </w:p>
    <w:p>
      <w:pPr>
        <w:pStyle w:val="BodyText"/>
      </w:pPr>
    </w:p>
    <w:p>
      <w:pPr>
        <w:pStyle w:val="BodyText"/>
      </w:pPr>
      <w:r>
        <w:t>Maps (KITLV)</w:t>
        <w:br/>
        <w:t xml:space="preserve">  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r>
    </w:p>
    <w:p>
      <w:pPr>
        <w:pStyle w:val="BodyText"/>
      </w:pPr>
    </w:p>
    <w:p>
      <w:pPr>
        <w:pStyle w:val="BodyText"/>
      </w:pPr>
    </w:p>
    <w:p>
      <w:pPr>
        <w:pStyle w:val="BodyText"/>
      </w:pPr>
      <w:r>
        <w:t>Digitale collectie:</w:t>
      </w:r>
    </w:p>
    <w:p>
      <w:pPr>
        <w:pStyle w:val="BodyText"/>
      </w:pPr>
    </w:p>
    <w:p>
      <w:pPr>
        <w:pStyle w:val="BodyText"/>
      </w:pPr>
      <w:r>
        <w:t>Southeast Asian &amp; Caribbean Images (KITLV)</w:t>
        <w:br/>
        <w:t xml:space="preserve">  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r>
    </w:p>
    <w:p>
      <w:pPr>
        <w:pStyle w:val="BodyText"/>
      </w:pPr>
    </w:p>
    <w:p>
      <w:pPr>
        <w:pStyle w:val="BodyText"/>
      </w:pPr>
    </w:p>
    <w:p>
      <w:pPr>
        <w:pStyle w:val="BodyText"/>
      </w:pPr>
      <w:r>
        <w:t>Digitale collectie:</w:t>
      </w:r>
    </w:p>
    <w:p>
      <w:pPr>
        <w:pStyle w:val="BodyText"/>
      </w:pPr>
    </w:p>
    <w:p>
      <w:pPr>
        <w:pStyle w:val="BodyText"/>
      </w:pPr>
      <w:r>
        <w:t>Oral History Archive SMGI (KITLV)</w:t>
        <w:br/>
        <w:t xml:space="preserve">  _Via deze pagina heb je toegang tot de collectie interviews van de Stichting Mondelinge Geschiedenis Indonesië. De collectie bevat audiobestanden en samenvattingen van interviews met 724 personen over hun ervaringen in voormalig Nederlands-Indië._</w:t>
      </w:r>
    </w:p>
    <w:p>
      <w:pPr>
        <w:pStyle w:val="BodyText"/>
      </w:pPr>
    </w:p>
    <w:p>
      <w:pPr>
        <w:pStyle w:val="BodyText"/>
      </w:pPr>
    </w:p>
    <w:p>
      <w:pPr>
        <w:pStyle w:val="BodyText"/>
      </w:pPr>
      <w:r>
        <w:t>Digitale collectie:</w:t>
      </w:r>
    </w:p>
    <w:p>
      <w:pPr>
        <w:pStyle w:val="BodyText"/>
      </w:pPr>
    </w:p>
    <w:p>
      <w:pPr>
        <w:pStyle w:val="BodyText"/>
      </w:pPr>
      <w:r>
        <w:t>South East Asian Pop Music (KITLV)</w:t>
        <w:br/>
        <w:t xml:space="preserve">  _Via deze pagina heb je toegang tot de collectie Zuidoost-Aziatische popmuziek van het KITLV, voornamelijk uit Indonesië._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p>
    <w:p>
      <w:pPr>
        <w:pStyle w:val="BodyText"/>
      </w:pPr>
      <w:r>
        <w:t>Tijdschrift:</w:t>
      </w:r>
    </w:p>
    <w:p>
      <w:pPr>
        <w:pStyle w:val="BodyText"/>
      </w:pPr>
    </w:p>
    <w:p>
      <w:pPr>
        <w:pStyle w:val="BodyText"/>
      </w:pPr>
      <w:r>
        <w:t>Bijdragen tot de taal-, land- en volkenkunde</w:t>
        <w:br/>
        <w:t xml:space="preserve">  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2024-07-04_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