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Ambtenaren in gekoloniseerde gebieden</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r>
    </w:p>
    <w:p>
      <w:pPr>
        <w:pStyle w:val="BodyText"/>
      </w:pPr>
    </w:p>
    <w:p>
      <w:pPr>
        <w:pStyle w:val="BodyText"/>
      </w:pPr>
    </w:p>
    <w:p>
      <w:pPr>
        <w:pStyle w:val="BodyText"/>
      </w:pPr>
      <w:r>
        <w:t>Archief:</w:t>
      </w:r>
    </w:p>
    <w:p>
      <w:pPr>
        <w:pStyle w:val="BodyText"/>
      </w:pPr>
    </w:p>
    <w:p>
      <w:pPr>
        <w:pStyle w:val="BodyText"/>
      </w:pPr>
      <w:r>
        <w:t>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r>
    </w:p>
    <w:p>
      <w:pPr>
        <w:pStyle w:val="BodyText"/>
      </w:pPr>
    </w:p>
    <w:p>
      <w:pPr>
        <w:pStyle w:val="BodyText"/>
      </w:pPr>
    </w:p>
    <w:p>
      <w:pPr>
        <w:pStyle w:val="BodyText"/>
      </w:pPr>
      <w:r>
        <w:t>Boek:</w:t>
      </w:r>
    </w:p>
    <w:p>
      <w:pPr>
        <w:pStyle w:val="BodyText"/>
      </w:pPr>
    </w:p>
    <w:p>
      <w:pPr>
        <w:pStyle w:val="BodyText"/>
      </w:pPr>
      <w:r>
        <w:t>Wentholt, Arnold. Nusantara: Highlights from Museum Nusantara Delft. Leiden: C. Zwartenkot Art Books, 2014.</w:t>
        <w:br/>
        <w:t xml:space="preserve">  _Boek met korte informatie over de geschiedenis van Museum Nusantara en een overzicht van de collectie._</w:t>
      </w:r>
    </w:p>
    <w:p>
      <w:pPr>
        <w:pStyle w:val="BodyText"/>
      </w:pPr>
    </w:p>
    <w:p>
      <w:pPr>
        <w:pStyle w:val="BodyText"/>
      </w:pPr>
    </w:p>
    <w:p>
      <w:pPr>
        <w:pStyle w:val="BodyText"/>
      </w:pPr>
      <w:r>
        <w:t>Boek:</w:t>
      </w:r>
    </w:p>
    <w:p>
      <w:pPr>
        <w:pStyle w:val="BodyText"/>
      </w:pPr>
    </w:p>
    <w:p>
      <w:pPr>
        <w:pStyle w:val="BodyText"/>
      </w:pPr>
      <w:r>
        <w:t>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2025-01-30_</w:t>
        <w:br/>
        <w:t>_last edited by Milou Francken as editor on 2025-02-26_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