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r>
    </w:p>
    <w:p>
      <w:pPr>
        <w:pStyle w:val="BodyText"/>
      </w:pPr>
    </w:p>
    <w:p>
      <w:pPr>
        <w:pStyle w:val="BodyText"/>
      </w:pPr>
    </w:p>
    <w:p>
      <w:pPr>
        <w:pStyle w:val="BodyText"/>
      </w:pPr>
      <w:r>
        <w:t>Collectiedatabase:</w:t>
      </w:r>
    </w:p>
    <w:p>
      <w:pPr>
        <w:pStyle w:val="BodyText"/>
      </w:pPr>
    </w:p>
    <w:p>
      <w:pPr>
        <w:pStyle w:val="BodyText"/>
      </w:pPr>
      <w:r>
        <w:t>Limburgs Efgoednet</w:t>
        <w:br/>
        <w:t xml:space="preserve">  _Wanneer de volledige museumcollectie van het Missiemuseum Steyl geregistreerd en gedigitaliseerd is, wordt deze toegankelijk via de website van het Limburgs Erfgoednet._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