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r>
    </w:p>
    <w:p>
      <w:pPr>
        <w:pStyle w:val="BodyText"/>
      </w:pPr>
    </w:p>
    <w:p>
      <w:pPr>
        <w:pStyle w:val="BodyText"/>
      </w:pPr>
    </w:p>
    <w:p>
      <w:pPr>
        <w:pStyle w:val="BodyText"/>
      </w:pPr>
      <w:r>
        <w:t>Archief:</w:t>
      </w:r>
    </w:p>
    <w:p>
      <w:pPr>
        <w:pStyle w:val="BodyText"/>
      </w:pPr>
    </w:p>
    <w:p>
      <w:pPr>
        <w:pStyle w:val="BodyText"/>
      </w:pPr>
      <w:r>
        <w:t>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r>
    </w:p>
    <w:p>
      <w:pPr>
        <w:pStyle w:val="BodyText"/>
      </w:pPr>
    </w:p>
    <w:p>
      <w:pPr>
        <w:pStyle w:val="BodyText"/>
      </w:pPr>
    </w:p>
    <w:p>
      <w:pPr>
        <w:pStyle w:val="BodyText"/>
      </w:pPr>
      <w:r>
        <w:t>Catalogus:</w:t>
      </w:r>
    </w:p>
    <w:p>
      <w:pPr>
        <w:pStyle w:val="BodyText"/>
      </w:pPr>
    </w:p>
    <w:p>
      <w:pPr>
        <w:pStyle w:val="BodyText"/>
      </w:pPr>
      <w:r>
        <w:t>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r>
    </w:p>
    <w:p>
      <w:pPr>
        <w:pStyle w:val="BodyText"/>
      </w:pPr>
    </w:p>
    <w:p>
      <w:pPr>
        <w:pStyle w:val="BodyText"/>
      </w:pPr>
    </w:p>
    <w:p>
      <w:pPr>
        <w:pStyle w:val="BodyText"/>
      </w:pPr>
      <w:r>
        <w:t>Boek:</w:t>
      </w:r>
    </w:p>
    <w:p>
      <w:pPr>
        <w:pStyle w:val="BodyText"/>
      </w:pPr>
    </w:p>
    <w:p>
      <w:pPr>
        <w:pStyle w:val="BodyText"/>
      </w:pPr>
      <w:r>
        <w:t>Bonaparte, Roland. Les habitants de Suriname: notes recueillies à l’exposition coloniale d’Amsterdam en 1883, 1884.</w:t>
        <w:br/>
        <w:t xml:space="preserve">  _Boek met daarin een collectie aan foto's van de Surinaamse mensen die tentoon werden gesteld tijdens de Wereldtentoonstelling._</w:t>
      </w:r>
    </w:p>
    <w:p>
      <w:pPr>
        <w:pStyle w:val="BodyText"/>
      </w:pPr>
    </w:p>
    <w:p>
      <w:pPr>
        <w:pStyle w:val="BodyText"/>
      </w:pPr>
    </w:p>
    <w:p>
      <w:pPr>
        <w:pStyle w:val="BodyText"/>
      </w:pPr>
      <w:r>
        <w:t>Dissertatie:</w:t>
      </w:r>
    </w:p>
    <w:p>
      <w:pPr>
        <w:pStyle w:val="BodyText"/>
      </w:pPr>
    </w:p>
    <w:p>
      <w:pPr>
        <w:pStyle w:val="BodyText"/>
      </w:pPr>
      <w:r>
        <w:t>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r>
    </w:p>
    <w:p>
      <w:pPr>
        <w:pStyle w:val="BodyText"/>
      </w:pPr>
    </w:p>
    <w:p>
      <w:pPr>
        <w:pStyle w:val="BodyText"/>
      </w:pPr>
    </w:p>
    <w:p>
      <w:pPr>
        <w:pStyle w:val="BodyText"/>
      </w:pPr>
      <w:r>
        <w:t>Artikel:</w:t>
      </w:r>
    </w:p>
    <w:p>
      <w:pPr>
        <w:pStyle w:val="BodyText"/>
      </w:pPr>
    </w:p>
    <w:p>
      <w:pPr>
        <w:pStyle w:val="BodyText"/>
      </w:pPr>
      <w:r>
        <w:t>Alberdingk Thijm, J.A., 'De waereldtentoonstelling van 1883.' De Gids 47, no. 3 (1883): 292–310.</w:t>
        <w:br/>
        <w:t xml:space="preserve">  _Artikel van J.A. Alberdink Thijm in tijdschrift De Gids uit 1883 over de wereldtentoonstelling van dat jaar in Amsterdam._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