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The abstract gives an informative description of  the research aid in 150-200 characters.</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 Luchtvaartmuseum dat al was gevestigd in Soesterberg, sinds kort is ook het voormalige Marechaussee-museum onderdeel van het NMM.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w:t>
      </w:r>
    </w:p>
    <w:p>
      <w:pPr>
        <w:pStyle w:val="BodyText"/>
      </w:pPr>
    </w:p>
    <w:p>
      <w:pPr>
        <w:pStyle w:val="Heading2"/>
      </w:pPr>
      <w:r>
        <w:t>Herkomstonderzoek</w:t>
      </w:r>
    </w:p>
    <w:p>
      <w:pPr>
        <w:pStyle w:val="BodyText"/>
      </w:pPr>
    </w:p>
    <w:p>
      <w:pPr>
        <w:pStyle w:val="BodyText"/>
      </w:pPr>
      <w:r>
        <w:t>This section is meant for specific information regarding (provenance) research into the topic of the research aid, such as tips for researching relevant archives or other relevant provenance information. You can use Markdown for the formatting of the text.</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