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is._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Ghana</w:t>
      </w:r>
    </w:p>
    <w:p>
      <w:pPr>
        <w:pStyle w:val="ListBullet"/>
      </w:pPr>
      <w:r>
        <w:t>Koninklijk Bataviaasch Genootschap van Kunsten en Wetenschappen</w:t>
      </w:r>
    </w:p>
    <w:p>
      <w:pPr>
        <w:pStyle w:val="ListBullet"/>
      </w:pPr>
      <w:r>
        <w:t>Koninklijk Instituut voor Taal-, Land- en Volkenkunde</w:t>
      </w:r>
    </w:p>
    <w:p>
      <w:pPr>
        <w:pStyle w:val="ListBullet"/>
      </w:pPr>
      <w:r>
        <w:t>Naturalis Biodiversity Center</w:t>
      </w:r>
    </w:p>
    <w:p>
      <w:pPr>
        <w:pStyle w:val="ListBullet"/>
      </w:pPr>
      <w:r>
        <w:t>Wereldmuseum Leiden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