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Microsoft JhengHei" w:cs="Microsoft JhengHei" w:eastAsia="Microsoft JhengHei" w:hAnsi="Microsoft JhengHei"/>
          <w:color w:val="5A6B72"/>
          <w:sz w:val="24"/>
          <w:szCs w:val="24"/>
          <w:highlight w:val="yellow"/>
        </w:rPr>
        <w:t xml:space="preserve">【公司名稱】</w:t>
      </w:r>
    </w:p>
    <w:p>
      <w:pPr>
        <w:spacing w:after="2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40"/>
          <w:szCs w:val="40"/>
        </w:rPr>
        <w:t xml:space="preserve">資訊安全政策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文件編號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POL-01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制定單位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【資安推動小組】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生效日期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</w:tr>
      <w:tr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機密等級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內部使用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審查週期</w:t>
            </w:r>
          </w:p>
        </w:tc>
        <w:tc>
          <w:tcPr>
            <w:tcW w:type="dxa" w:w="24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每年至少一次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制定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審查</w:t>
            </w: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核准</w:t>
            </w:r>
          </w:p>
        </w:tc>
      </w:tr>
      <w:tr>
        <w:trPr>
          <w:trHeight w:val="700" w:hRule="atLeast"/>
        </w:trPr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3212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60"/>
      </w:pPr>
    </w:p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2"/>
          <w:szCs w:val="22"/>
        </w:rPr>
        <w:t xml:space="preserve">修訂紀錄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8"/>
        <w:gridCol w:w="2305"/>
        <w:gridCol w:w="4609"/>
        <w:gridCol w:w="1676"/>
      </w:tblGrid>
      <w:tr>
        <w:trPr>
          <w:tblHeader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版次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日期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修訂內容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修訂人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1.0</w:t>
            </w: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【YYYY/MM/DD】</w:t>
            </w: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初版發行</w:t>
            </w: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【姓名】</w:t>
            </w:r>
          </w:p>
        </w:tc>
      </w:tr>
      <w:tr>
        <w:trPr>
          <w:cantSplit/>
        </w:trPr>
        <w:tc>
          <w:tcPr>
            <w:tcW w:type="dxa" w:w="104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230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4609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  <w:tc>
          <w:tcPr>
            <w:tcW w:type="dxa" w:w="1676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</w:p>
        </w:tc>
      </w:tr>
    </w:tbl>
    <w:p>
      <w:pPr>
        <w:spacing w:after="120"/>
      </w:pPr>
    </w:p>
    <w:p>
      <w:pPr>
        <w:shd w:fill="FFF3CD" w:color="auto" w:val="clear"/>
        <w:spacing w:after="200" w:line="300"/>
      </w:pPr>
      <w:r>
        <w:rPr>
          <w:rFonts w:ascii="Microsoft JhengHei" w:cs="Microsoft JhengHei" w:eastAsia="Microsoft JhengHei" w:hAnsi="Microsoft JhengHei"/>
          <w:b/>
          <w:bCs/>
          <w:color w:val="7A5A00"/>
          <w:sz w:val="19"/>
          <w:szCs w:val="19"/>
        </w:rPr>
        <w:t xml:space="preserve">使用說明（發行前請刪除本段）：</w:t>
      </w:r>
      <w:r>
        <w:rPr>
          <w:rFonts w:ascii="Microsoft JhengHei" w:cs="Microsoft JhengHei" w:eastAsia="Microsoft JhengHei" w:hAnsi="Microsoft JhengHei"/>
          <w:color w:val="7A5A00"/>
          <w:sz w:val="19"/>
          <w:szCs w:val="19"/>
        </w:rPr>
        <w:t xml:space="preserve">本文件為 ISMS 條款對照台提供的通用範本。黃色螢光標示的【】內容請依組織實際情況修改；表格中的數字與時限為建議值，請依風險評鑑結果與管理階層決定調整。範本不含 ISO/IEC 27001 標準原文。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1. 目的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為保護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【公司名稱】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的資訊資產，確保業務持續運作並符合法令與客戶要求，特訂定本政策，作為本公司資訊安全管理的最高指導原則。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2. 適用範圍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適用於本公司全體員工、約聘人員、實習生，以及因業務需要存取本公司資訊的供應商與合作夥伴。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3. 政策聲明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【公司名稱】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承諾：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保護客戶、員工與公司資訊的機密性、完整性與可用性，依資訊重要性給予適當保護。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遵守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【個人資料保護法、資通安全管理法（如適用）】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等相關法令，以及與客戶、供應商約定的資訊安全要求。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以風險評鑑結果決定資安控制措施，將風險控制在管理階層可接受的水準。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提供必要的資源與訓練，使全體同仁了解自己的資安責任。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建立資安事件的通報與應變機制，降低事件對營運的影響。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持續改善資訊安全管理系統的適切性與有效性。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4. 資訊安全目標框架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資安推動小組依本政策訂定年度可量測的資訊安全目標，記錄於《資安目標與量測計畫》（REC-03），並定期向管理階層報告達成情形。目標方向包括：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面向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目標方向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shd w:fill="DCEB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E2A36"/>
                <w:sz w:val="19"/>
                <w:szCs w:val="19"/>
              </w:rPr>
              <w:t xml:space="preserve">衡量方式（範例）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可用性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核心系統穩定運作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【核心系統】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年度可用率 ≥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【99.5%】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存取控制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離職人員權限及時回收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離職當日停用帳號比率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【100%】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事件管理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資安事件及時處理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重大事件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【1 小時】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內完成通報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人員認知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同仁具備資安意識</w:t>
            </w:r>
          </w:p>
        </w:tc>
        <w:tc>
          <w:tcPr>
            <w:tcW w:type="dxa" w:w="3855"/>
            <w:tcBorders>
              <w:top w:val="single" w:color="B8C4D0" w:sz="4"/>
              <w:left w:val="single" w:color="B8C4D0" w:sz="4"/>
              <w:bottom w:val="single" w:color="B8C4D0" w:sz="4"/>
              <w:right w:val="single" w:color="B8C4D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年度訓練完成率 ≥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【95%】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</w:rPr>
              <w:t xml:space="preserve">；社交工程演練點擊率 ≤</w:t>
            </w:r>
            <w:r>
              <w:rPr>
                <w:rFonts w:ascii="Microsoft JhengHei" w:cs="Microsoft JhengHei" w:eastAsia="Microsoft JhengHei" w:hAnsi="Microsoft JhengHei"/>
                <w:color w:val="1E2A36"/>
                <w:sz w:val="19"/>
                <w:szCs w:val="19"/>
                <w:highlight w:val="yellow"/>
              </w:rPr>
              <w:t xml:space="preserve">【5%】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5. 權責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【總經理】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核准本政策，並提供落實政策所需的資源。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【資安長】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負責推動本政策，並向管理階層報告執行情形。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各部門主管確保所屬人員遵守本政策；全體同仁應遵守本政策及相關程序。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6. 違反處理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違反本政策或相關規定者，依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【公司人事規章】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及相關法令處理；涉及供應商者，依契約約定辦理。</w:t>
      </w:r>
    </w:p>
    <w:p>
      <w:pPr>
        <w:keepNext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7365D"/>
          <w:sz w:val="26"/>
          <w:szCs w:val="26"/>
        </w:rPr>
        <w:t xml:space="preserve">7. 審查與公告</w:t>
      </w:r>
    </w:p>
    <w:p>
      <w:pPr>
        <w:spacing w:after="100" w:line="320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本政策每年至少審查一次，或於組織、法令、營運環境有重大變更時檢討，修訂後經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【總經理】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核准。核准後透過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【內部公告、員工手冊】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傳達全體同仁，並在利害關係者要求時提供。</w:t>
      </w:r>
    </w:p>
    <w:p>
      <w:pPr>
        <w:spacing w:before="360"/>
        <w:jc w:val="right"/>
      </w:pP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核准：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【總經理姓名】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</w:rPr>
        <w:t xml:space="preserve">　　日期：</w:t>
      </w:r>
      <w:r>
        <w:rPr>
          <w:rFonts w:ascii="Microsoft JhengHei" w:cs="Microsoft JhengHei" w:eastAsia="Microsoft JhengHei" w:hAnsi="Microsoft JhengHei"/>
          <w:color w:val="1E2A36"/>
          <w:sz w:val="21"/>
          <w:szCs w:val="21"/>
          <w:highlight w:val="yellow"/>
        </w:rPr>
        <w:t xml:space="preserve">【YYYY/MM/DD】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POL-01 資訊安全政策　版次 1.0　｜　第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頁，共 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C4D0" w:sz="4" w:space="4"/>
      </w:pBdr>
    </w:pPr>
    <w:r>
      <w:rPr>
        <w:rFonts w:ascii="Microsoft JhengHei" w:cs="Microsoft JhengHei" w:eastAsia="Microsoft JhengHei" w:hAnsi="Microsoft JhengHei"/>
        <w:color w:val="5A6B72"/>
        <w:sz w:val="16"/>
        <w:szCs w:val="16"/>
        <w:highlight w:val="yellow"/>
      </w:rPr>
      <w:t xml:space="preserve">【公司名稱】</w:t>
    </w:r>
    <w:r>
      <w:rPr>
        <w:rFonts w:ascii="Microsoft JhengHei" w:cs="Microsoft JhengHei" w:eastAsia="Microsoft JhengHei" w:hAnsi="Microsoft JhengHei"/>
        <w:color w:val="5A6B72"/>
        <w:sz w:val="16"/>
        <w:szCs w:val="16"/>
      </w:rPr>
      <w:t xml:space="preserve">　資訊安全管理系統　｜　機密等級：內部使用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(%1)"/>
      <w:lvlJc w:val="left"/>
      <w:pPr>
        <w:ind w:left="480" w:hanging="4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E2A36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POL-01 資訊安全政策</dc:title>
  <dc:creator>ISMS 條款對照台</dc:creator>
  <dc:description>ISMS 文件範本</dc:description>
  <cp:lastModifiedBy>Un-named</cp:lastModifiedBy>
  <cp:revision>1</cp:revision>
  <dcterms:created xsi:type="dcterms:W3CDTF">2026-10-25T14:30:16.263Z</dcterms:created>
  <dcterms:modified xsi:type="dcterms:W3CDTF">2026-10-25T14:30:16.263Z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