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Microsoft JhengHei" w:cs="Microsoft JhengHei" w:eastAsia="Microsoft JhengHei" w:hAnsi="Microsoft JhengHei"/>
          <w:color w:val="5A6B72"/>
          <w:sz w:val="24"/>
          <w:szCs w:val="24"/>
          <w:highlight w:val="yellow"/>
        </w:rPr>
        <w:t xml:space="preserve">【公司名稱】</w:t>
      </w:r>
    </w:p>
    <w:p>
      <w:pPr>
        <w:spacing w:after="280"/>
        <w:jc w:val="center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40"/>
          <w:szCs w:val="40"/>
        </w:rPr>
        <w:t xml:space="preserve">組織全景與利害關係者分析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文件編號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POL-03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版次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1.0</w:t>
            </w:r>
          </w:p>
        </w:tc>
      </w:tr>
      <w:tr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制定單位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【資安推動小組】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生效日期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【YYYY/MM/DD】</w:t>
            </w:r>
          </w:p>
        </w:tc>
      </w:tr>
      <w:tr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機密等級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內部使用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審查週期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每年至少一次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制定</w:t>
            </w:r>
          </w:p>
        </w:tc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審查</w:t>
            </w:r>
          </w:p>
        </w:tc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核准</w:t>
            </w:r>
          </w:p>
        </w:tc>
      </w:tr>
      <w:tr>
        <w:trPr>
          <w:trHeight w:val="700" w:hRule="atLeast"/>
        </w:trPr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</w:tr>
    </w:tbl>
    <w:p>
      <w:pPr>
        <w:spacing w:after="160"/>
      </w:pPr>
    </w:p>
    <w:p>
      <w:pPr>
        <w:spacing w:after="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2"/>
          <w:szCs w:val="22"/>
        </w:rPr>
        <w:t xml:space="preserve">修訂紀錄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8"/>
        <w:gridCol w:w="2305"/>
        <w:gridCol w:w="4609"/>
        <w:gridCol w:w="1676"/>
      </w:tblGrid>
      <w:tr>
        <w:trPr>
          <w:tblHeader/>
        </w:trPr>
        <w:tc>
          <w:tcPr>
            <w:tcW w:type="dxa" w:w="1048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版次</w:t>
            </w:r>
          </w:p>
        </w:tc>
        <w:tc>
          <w:tcPr>
            <w:tcW w:type="dxa" w:w="230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日期</w:t>
            </w:r>
          </w:p>
        </w:tc>
        <w:tc>
          <w:tcPr>
            <w:tcW w:type="dxa" w:w="46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修訂內容</w:t>
            </w:r>
          </w:p>
        </w:tc>
        <w:tc>
          <w:tcPr>
            <w:tcW w:type="dxa" w:w="167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修訂人</w:t>
            </w:r>
          </w:p>
        </w:tc>
      </w:tr>
      <w:tr>
        <w:trPr>
          <w:cantSplit/>
        </w:trPr>
        <w:tc>
          <w:tcPr>
            <w:tcW w:type="dxa" w:w="1048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1.0</w:t>
            </w:r>
          </w:p>
        </w:tc>
        <w:tc>
          <w:tcPr>
            <w:tcW w:type="dxa" w:w="230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【YYYY/MM/DD】</w:t>
            </w:r>
          </w:p>
        </w:tc>
        <w:tc>
          <w:tcPr>
            <w:tcW w:type="dxa" w:w="46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初版發行</w:t>
            </w:r>
          </w:p>
        </w:tc>
        <w:tc>
          <w:tcPr>
            <w:tcW w:type="dxa" w:w="167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【姓名】</w:t>
            </w:r>
          </w:p>
        </w:tc>
      </w:tr>
      <w:tr>
        <w:trPr>
          <w:cantSplit/>
        </w:trPr>
        <w:tc>
          <w:tcPr>
            <w:tcW w:type="dxa" w:w="1048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  <w:tc>
          <w:tcPr>
            <w:tcW w:type="dxa" w:w="230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  <w:tc>
          <w:tcPr>
            <w:tcW w:type="dxa" w:w="46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  <w:tc>
          <w:tcPr>
            <w:tcW w:type="dxa" w:w="167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</w:tr>
    </w:tbl>
    <w:p>
      <w:pPr>
        <w:spacing w:after="120"/>
      </w:pPr>
    </w:p>
    <w:p>
      <w:pPr>
        <w:shd w:fill="FFF3CD" w:color="auto" w:val="clear"/>
        <w:spacing w:after="200" w:line="300"/>
      </w:pPr>
      <w:r>
        <w:rPr>
          <w:rFonts w:ascii="Microsoft JhengHei" w:cs="Microsoft JhengHei" w:eastAsia="Microsoft JhengHei" w:hAnsi="Microsoft JhengHei"/>
          <w:b/>
          <w:bCs/>
          <w:color w:val="7A5A00"/>
          <w:sz w:val="19"/>
          <w:szCs w:val="19"/>
        </w:rPr>
        <w:t xml:space="preserve">使用說明（發行前請刪除本段）：</w:t>
      </w:r>
      <w:r>
        <w:rPr>
          <w:rFonts w:ascii="Microsoft JhengHei" w:cs="Microsoft JhengHei" w:eastAsia="Microsoft JhengHei" w:hAnsi="Microsoft JhengHei"/>
          <w:color w:val="7A5A00"/>
          <w:sz w:val="19"/>
          <w:szCs w:val="19"/>
        </w:rPr>
        <w:t xml:space="preserve">本文件為 ISMS 條款對照台提供的通用範本。黃色螢光標示的【】內容請依組織實際情況修改；表格中的數字與時限為建議值，請依風險評鑑結果與管理階層決定調整。範本不含 ISO/IEC 27001 標準原文。</w:t>
      </w: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1. 目的</w:t>
      </w:r>
    </w:p>
    <w:p>
      <w:pPr>
        <w:spacing w:after="10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識別影響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  <w:highlight w:val="yellow"/>
        </w:rPr>
        <w:t xml:space="preserve">【公司名稱】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達成資訊安全目標的內外部議題，以及利害關係者對資訊安全的要求，作為決定 ISMS 範圍與風險評鑑的輸入。</w:t>
      </w: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2. 分析方法</w:t>
      </w:r>
    </w:p>
    <w:p>
      <w:pPr>
        <w:spacing w:after="10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資安推動小組每年於風險評鑑前更新本分析，可採用 SWOT 或 PESTLE 等方法，結果經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  <w:highlight w:val="yellow"/>
        </w:rPr>
        <w:t xml:space="preserve">【資安長】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確認。</w:t>
      </w:r>
    </w:p>
    <w:p>
      <w:pPr>
        <w:spacing w:after="10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分析時應判斷氣候變遷是否為相關議題（ISO/IEC 27001:2022/Amd 1:2024），並記錄判斷結果與理由；判斷為不相關時，也要保留理由供稽核查閱。</w:t>
      </w: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3. 內外部議題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2891"/>
        <w:gridCol w:w="2891"/>
        <w:gridCol w:w="2507"/>
      </w:tblGrid>
      <w:tr>
        <w:trPr>
          <w:tblHeader/>
        </w:trPr>
        <w:tc>
          <w:tcPr>
            <w:tcW w:type="dxa" w:w="134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類別</w:t>
            </w:r>
          </w:p>
        </w:tc>
        <w:tc>
          <w:tcPr>
            <w:tcW w:type="dxa" w:w="2891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議題（範例）</w:t>
            </w:r>
          </w:p>
        </w:tc>
        <w:tc>
          <w:tcPr>
            <w:tcW w:type="dxa" w:w="2891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對資安的影響</w:t>
            </w:r>
          </w:p>
        </w:tc>
        <w:tc>
          <w:tcPr>
            <w:tcW w:type="dxa" w:w="2507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因應方式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外部－法規</w:t>
            </w:r>
          </w:p>
        </w:tc>
        <w:tc>
          <w:tcPr>
            <w:tcW w:type="dxa" w:w="2891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個資法修正、主管機關要求提高</w:t>
            </w:r>
          </w:p>
        </w:tc>
        <w:tc>
          <w:tcPr>
            <w:tcW w:type="dxa" w:w="2891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須強化個資保護與通報</w:t>
            </w:r>
          </w:p>
        </w:tc>
        <w:tc>
          <w:tcPr>
            <w:tcW w:type="dxa" w:w="2507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納入法規清冊，評估差距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外部－技術</w:t>
            </w:r>
          </w:p>
        </w:tc>
        <w:tc>
          <w:tcPr>
            <w:tcW w:type="dxa" w:w="2891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勒索軟體與釣魚攻擊增加</w:t>
            </w:r>
          </w:p>
        </w:tc>
        <w:tc>
          <w:tcPr>
            <w:tcW w:type="dxa" w:w="2891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營運中斷、資料外洩</w:t>
            </w:r>
          </w:p>
        </w:tc>
        <w:tc>
          <w:tcPr>
            <w:tcW w:type="dxa" w:w="2507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納入風險評鑑；強化備份與訓練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外部－客戶</w:t>
            </w:r>
          </w:p>
        </w:tc>
        <w:tc>
          <w:tcPr>
            <w:tcW w:type="dxa" w:w="2891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客戶要求供應商通過資安驗證</w:t>
            </w:r>
          </w:p>
        </w:tc>
        <w:tc>
          <w:tcPr>
            <w:tcW w:type="dxa" w:w="2891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影響訂單</w:t>
            </w:r>
          </w:p>
        </w:tc>
        <w:tc>
          <w:tcPr>
            <w:tcW w:type="dxa" w:w="2507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導入 ISMS 並取得驗證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內部－人力</w:t>
            </w:r>
          </w:p>
        </w:tc>
        <w:tc>
          <w:tcPr>
            <w:tcW w:type="dxa" w:w="2891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資訊人員</w:t>
            </w: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【2】</w:t>
            </w: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人，負擔重</w:t>
            </w:r>
          </w:p>
        </w:tc>
        <w:tc>
          <w:tcPr>
            <w:tcW w:type="dxa" w:w="2891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控制措施執行不易持續</w:t>
            </w:r>
          </w:p>
        </w:tc>
        <w:tc>
          <w:tcPr>
            <w:tcW w:type="dxa" w:w="2507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工具自動化；明確分工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內部－系統</w:t>
            </w:r>
          </w:p>
        </w:tc>
        <w:tc>
          <w:tcPr>
            <w:tcW w:type="dxa" w:w="2891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部分設備作業系統已停止支援</w:t>
            </w:r>
          </w:p>
        </w:tc>
        <w:tc>
          <w:tcPr>
            <w:tcW w:type="dxa" w:w="2891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已知弱點無法修補</w:t>
            </w:r>
          </w:p>
        </w:tc>
        <w:tc>
          <w:tcPr>
            <w:tcW w:type="dxa" w:w="2507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汰換計畫；網段隔離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內部－文化</w:t>
            </w:r>
          </w:p>
        </w:tc>
        <w:tc>
          <w:tcPr>
            <w:tcW w:type="dxa" w:w="2891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同仁資安意識不一</w:t>
            </w:r>
          </w:p>
        </w:tc>
        <w:tc>
          <w:tcPr>
            <w:tcW w:type="dxa" w:w="2891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人為疏失</w:t>
            </w:r>
          </w:p>
        </w:tc>
        <w:tc>
          <w:tcPr>
            <w:tcW w:type="dxa" w:w="2507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年度訓練與演練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外部－氣候變遷</w:t>
            </w:r>
          </w:p>
        </w:tc>
        <w:tc>
          <w:tcPr>
            <w:tcW w:type="dxa" w:w="2891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颱風、豪雨、極端高溫增加；</w:t>
            </w: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【機房所在地】</w:t>
            </w: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有淹水或停電風險</w:t>
            </w:r>
          </w:p>
        </w:tc>
        <w:tc>
          <w:tcPr>
            <w:tcW w:type="dxa" w:w="2891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機房淹水、停電、空調失效，影響系統可用性</w:t>
            </w:r>
          </w:p>
        </w:tc>
        <w:tc>
          <w:tcPr>
            <w:tcW w:type="dxa" w:w="2507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納入風險評鑑與營運持續計畫；判斷不相關時記錄理由</w:t>
            </w:r>
          </w:p>
        </w:tc>
      </w:tr>
    </w:tbl>
    <w:p>
      <w:pPr>
        <w:spacing w:after="80"/>
      </w:pP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4. 利害關係者及其要求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3373"/>
        <w:gridCol w:w="1446"/>
        <w:gridCol w:w="2891"/>
      </w:tblGrid>
      <w:tr>
        <w:trPr>
          <w:tblHeader/>
        </w:trPr>
        <w:tc>
          <w:tcPr>
            <w:tcW w:type="dxa" w:w="1928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利害關係者</w:t>
            </w:r>
          </w:p>
        </w:tc>
        <w:tc>
          <w:tcPr>
            <w:tcW w:type="dxa" w:w="3373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對資安的要求</w:t>
            </w:r>
          </w:p>
        </w:tc>
        <w:tc>
          <w:tcPr>
            <w:tcW w:type="dxa" w:w="144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是否納入 ISMS</w:t>
            </w:r>
          </w:p>
        </w:tc>
        <w:tc>
          <w:tcPr>
            <w:tcW w:type="dxa" w:w="2891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落實方式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客戶</w:t>
            </w:r>
          </w:p>
        </w:tc>
        <w:tc>
          <w:tcPr>
            <w:tcW w:type="dxa" w:w="3373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保護其資料、事件時通知</w:t>
            </w:r>
          </w:p>
        </w:tc>
        <w:tc>
          <w:tcPr>
            <w:tcW w:type="dxa" w:w="144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是</w:t>
            </w:r>
          </w:p>
        </w:tc>
        <w:tc>
          <w:tcPr>
            <w:tcW w:type="dxa" w:w="2891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契約條款、事件管理程序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員工</w:t>
            </w:r>
          </w:p>
        </w:tc>
        <w:tc>
          <w:tcPr>
            <w:tcW w:type="dxa" w:w="3373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個人資料受保護、明確的使用規範</w:t>
            </w:r>
          </w:p>
        </w:tc>
        <w:tc>
          <w:tcPr>
            <w:tcW w:type="dxa" w:w="144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是</w:t>
            </w:r>
          </w:p>
        </w:tc>
        <w:tc>
          <w:tcPr>
            <w:tcW w:type="dxa" w:w="2891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可接受使用政策、個資管理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主管機關</w:t>
            </w:r>
          </w:p>
        </w:tc>
        <w:tc>
          <w:tcPr>
            <w:tcW w:type="dxa" w:w="3373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符合法令、依規定通報</w:t>
            </w:r>
          </w:p>
        </w:tc>
        <w:tc>
          <w:tcPr>
            <w:tcW w:type="dxa" w:w="144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是</w:t>
            </w:r>
          </w:p>
        </w:tc>
        <w:tc>
          <w:tcPr>
            <w:tcW w:type="dxa" w:w="2891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法令法規清冊、事件通報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股東／管理階層</w:t>
            </w:r>
          </w:p>
        </w:tc>
        <w:tc>
          <w:tcPr>
            <w:tcW w:type="dxa" w:w="3373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營運持續、避免商譽損失</w:t>
            </w:r>
          </w:p>
        </w:tc>
        <w:tc>
          <w:tcPr>
            <w:tcW w:type="dxa" w:w="144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是</w:t>
            </w:r>
          </w:p>
        </w:tc>
        <w:tc>
          <w:tcPr>
            <w:tcW w:type="dxa" w:w="2891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營運持續程序、管理審查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供應商</w:t>
            </w:r>
          </w:p>
        </w:tc>
        <w:tc>
          <w:tcPr>
            <w:tcW w:type="dxa" w:w="3373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明確的存取規範</w:t>
            </w:r>
          </w:p>
        </w:tc>
        <w:tc>
          <w:tcPr>
            <w:tcW w:type="dxa" w:w="144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是</w:t>
            </w:r>
          </w:p>
        </w:tc>
        <w:tc>
          <w:tcPr>
            <w:tcW w:type="dxa" w:w="2891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供應商管理、存取控制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客戶／投資人（氣候相關）</w:t>
            </w:r>
          </w:p>
        </w:tc>
        <w:tc>
          <w:tcPr>
            <w:tcW w:type="dxa" w:w="3373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可能要求說明氣候風險對營運持續的影響（例如供應鏈永續問卷、永續報告）</w:t>
            </w:r>
          </w:p>
        </w:tc>
        <w:tc>
          <w:tcPr>
            <w:tcW w:type="dxa" w:w="144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【是／否】</w:t>
            </w:r>
          </w:p>
        </w:tc>
        <w:tc>
          <w:tcPr>
            <w:tcW w:type="dxa" w:w="2891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營運持續程序、供應商評鑑回覆</w:t>
            </w:r>
          </w:p>
        </w:tc>
      </w:tr>
    </w:tbl>
    <w:p>
      <w:pPr>
        <w:spacing w:after="80"/>
      </w:pPr>
    </w:p>
    <w:p>
      <w:pPr>
        <w:pBdr>
          <w:left w:val="single" w:color="E0A800" w:sz="18" w:space="6"/>
        </w:pBdr>
        <w:shd w:fill="FFF3CD" w:color="auto" w:val="clear"/>
        <w:spacing w:after="120" w:before="60" w:line="300"/>
        <w:ind w:left="120" w:right="120"/>
      </w:pPr>
      <w:r>
        <w:rPr>
          <w:rFonts w:ascii="Microsoft JhengHei" w:cs="Microsoft JhengHei" w:eastAsia="Microsoft JhengHei" w:hAnsi="Microsoft JhengHei"/>
          <w:b/>
          <w:bCs/>
          <w:color w:val="7A5A00"/>
          <w:sz w:val="19"/>
          <w:szCs w:val="19"/>
        </w:rPr>
        <w:t xml:space="preserve">說明：</w:t>
      </w:r>
      <w:r>
        <w:rPr>
          <w:rFonts w:ascii="Microsoft JhengHei" w:cs="Microsoft JhengHei" w:eastAsia="Microsoft JhengHei" w:hAnsi="Microsoft JhengHei"/>
          <w:color w:val="7A5A00"/>
          <w:sz w:val="19"/>
          <w:szCs w:val="19"/>
        </w:rPr>
        <w:t xml:space="preserve">「是否納入 ISMS」表示該要求將透過 ISMS 處理；條款 4.2 要求組織決定哪些要求要透過 ISMS 處理。2024 年增修（Amd 1:2024）在 4.1 加入「組織應判斷氣候變遷是否為相關議題」，4.2 也註明利害關係者可能有氣候相關要求。</w:t>
      </w: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5. 結果的運用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議題與要求作為 ISMS 範圍（POL-02）的決定依據。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具體威脅與弱點納入風險評鑑（PRO-02）。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法規與契約要求登錄於《法令法規與契約要求清冊》（REC-05）。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5A6B72"/>
        <w:sz w:val="16"/>
        <w:szCs w:val="16"/>
      </w:rPr>
      <w:t xml:space="preserve">POL-03 組織全景與利害關係者分析　版次 1.0　｜　第 </w:t>
    </w:r>
    <w:r>
      <w:rPr>
        <w:rFonts w:ascii="Microsoft JhengHei" w:cs="Microsoft JhengHei" w:eastAsia="Microsoft JhengHei" w:hAnsi="Microsoft JhengHei"/>
        <w:color w:val="5A6B72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JhengHei" w:cs="Microsoft JhengHei" w:eastAsia="Microsoft JhengHei" w:hAnsi="Microsoft JhengHei"/>
        <w:color w:val="5A6B72"/>
        <w:sz w:val="16"/>
        <w:szCs w:val="16"/>
      </w:rPr>
      <w:t xml:space="preserve"> 頁，共 </w:t>
    </w:r>
    <w:r>
      <w:rPr>
        <w:rFonts w:ascii="Microsoft JhengHei" w:cs="Microsoft JhengHei" w:eastAsia="Microsoft JhengHei" w:hAnsi="Microsoft JhengHei"/>
        <w:color w:val="5A6B72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rFonts w:ascii="Microsoft JhengHei" w:cs="Microsoft JhengHei" w:eastAsia="Microsoft JhengHei" w:hAnsi="Microsoft JhengHei"/>
        <w:color w:val="5A6B72"/>
        <w:sz w:val="16"/>
        <w:szCs w:val="16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8C4D0" w:sz="4" w:space="4"/>
      </w:pBdr>
    </w:pPr>
    <w:r>
      <w:rPr>
        <w:rFonts w:ascii="Microsoft JhengHei" w:cs="Microsoft JhengHei" w:eastAsia="Microsoft JhengHei" w:hAnsi="Microsoft JhengHei"/>
        <w:color w:val="5A6B72"/>
        <w:sz w:val="16"/>
        <w:szCs w:val="16"/>
        <w:highlight w:val="yellow"/>
      </w:rPr>
      <w:t xml:space="preserve">【公司名稱】</w:t>
    </w:r>
    <w:r>
      <w:rPr>
        <w:rFonts w:ascii="Microsoft JhengHei" w:cs="Microsoft JhengHei" w:eastAsia="Microsoft JhengHei" w:hAnsi="Microsoft JhengHei"/>
        <w:color w:val="5A6B72"/>
        <w:sz w:val="16"/>
        <w:szCs w:val="16"/>
      </w:rPr>
      <w:t xml:space="preserve">　資訊安全管理系統　｜　機密等級：內部使用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(%1)"/>
      <w:lvlJc w:val="left"/>
      <w:pPr>
        <w:ind w:left="480" w:hanging="4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color w:val="1E2A36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POL-03 組織全景與利害關係者分析</dc:title>
  <dc:creator>ISMS 條款對照台</dc:creator>
  <dc:description>ISMS 文件範本</dc:description>
  <cp:lastModifiedBy>Un-named</cp:lastModifiedBy>
  <cp:revision>1</cp:revision>
  <dcterms:created xsi:type="dcterms:W3CDTF">2026-10-26T07:57:51.747Z</dcterms:created>
  <dcterms:modified xsi:type="dcterms:W3CDTF">2026-10-26T07:57:51.747Z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