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4057"/>
          <w:sz w:val="40"/>
          <w:szCs w:val="40"/>
        </w:rPr>
        <w:t xml:space="preserve">CIVIL PROCEDURE</w:t>
      </w:r>
    </w:p>
    <w:p>
      <w:pPr>
        <w:spacing w:after="60"/>
        <w:jc w:val="center"/>
      </w:pPr>
      <w:r>
        <w:rPr>
          <w:rFonts w:ascii="Arial" w:cs="Arial" w:eastAsia="Arial" w:hAnsi="Arial"/>
          <w:b/>
          <w:bCs/>
          <w:color w:val="2E4057"/>
          <w:sz w:val="34"/>
          <w:szCs w:val="34"/>
        </w:rPr>
        <w:t xml:space="preserve">COMPLETE MASTER OUTLINE</w:t>
      </w:r>
    </w:p>
    <w:p>
      <w:pPr>
        <w:spacing w:after="60"/>
        <w:jc w:val="center"/>
      </w:pPr>
      <w:r>
        <w:rPr>
          <w:rFonts w:ascii="Arial" w:cs="Arial" w:eastAsia="Arial" w:hAnsi="Arial"/>
          <w:color w:val="3D6B99"/>
          <w:sz w:val="26"/>
          <w:szCs w:val="26"/>
        </w:rPr>
        <w:t xml:space="preserve">Weeks 1–6: Jurisdiction, Venue, Service &amp; Pleadings</w:t>
      </w:r>
    </w:p>
    <w:p>
      <w:pPr>
        <w:spacing w:after="200"/>
        <w:jc w:val="center"/>
      </w:pPr>
      <w:r>
        <w:rPr>
          <w:i/>
          <w:iCs/>
          <w:color w:val="777777"/>
          <w:sz w:val="22"/>
          <w:szCs w:val="22"/>
        </w:rPr>
        <w:t xml:space="preserve">Professor Semeraro • Thomas Jefferson School of Law</w:t>
      </w:r>
    </w:p>
    <w:p>
      <w:pPr>
        <w:pBdr>
          <w:bottom w:val="single" w:color="2E4057" w:sz="3" w:space="1"/>
        </w:pBdr>
        <w:spacing w:before="240" w:after="240"/>
      </w:pPr>
    </w:p>
    <w:p>
      <w:pPr>
        <w:pStyle w:val="Heading1"/>
        <w:spacing w:before="360" w:after="120"/>
      </w:pPr>
      <w:r>
        <w:rPr>
          <w:b/>
          <w:bCs/>
        </w:rPr>
        <w:t xml:space="preserve">PART 1: THE BIG PICTURE — HOW LAWSUITS WORK</w:t>
      </w:r>
    </w:p>
    <w:p>
      <w:pPr>
        <w:spacing w:after="160"/>
      </w:pPr>
    </w:p>
    <w:p>
      <w:pPr>
        <w:pStyle w:val="Heading2"/>
        <w:spacing w:before="260" w:after="100"/>
      </w:pPr>
      <w:r>
        <w:rPr>
          <w:b/>
          <w:bCs/>
        </w:rPr>
        <w:t xml:space="preserve">What Even Is Civil Procedure?</w:t>
      </w:r>
    </w:p>
    <w:p>
      <w:pPr>
        <w:spacing w:after="100"/>
      </w:pPr>
      <w:r>
        <w:rPr>
          <w:b/>
          <w:bCs/>
        </w:rPr>
        <w:t xml:space="preserve">Substantive law = </w:t>
      </w:r>
      <w:r>
        <w:t xml:space="preserve">WHEN you get a remedy (torts, contracts, criminal law, con law)</w:t>
      </w:r>
    </w:p>
    <w:p>
      <w:pPr>
        <w:spacing w:after="100"/>
      </w:pPr>
      <w:r>
        <w:rPr>
          <w:b/>
          <w:bCs/>
        </w:rPr>
        <w:t xml:space="preserve">Procedural law = </w:t>
      </w:r>
      <w:r>
        <w:t xml:space="preserve">HOW you get that remedy (the steps of a lawsuit)</w:t>
      </w:r>
    </w:p>
    <w:p>
      <w:pPr>
        <w:pBdr>
          <w:left w:val="single" w:color="E8A317" w:sz="6" w:space="8"/>
        </w:pBdr>
        <w:spacing w:before="120" w:after="120"/>
        <w:ind w:left="360"/>
      </w:pPr>
      <w:r>
        <w:rPr>
          <w:sz w:val="22"/>
          <w:szCs w:val="22"/>
        </w:rPr>
        <w:t xml:space="preserve">💡 </w:t>
      </w:r>
      <w:r>
        <w:rPr>
          <w:i/>
          <w:iCs/>
          <w:color w:val="555555"/>
          <w:sz w:val="21"/>
          <w:szCs w:val="21"/>
        </w:rPr>
        <w:t xml:space="preserve">Think of it this way: substantive law is the recipe, procedural law is the kitchen equipment and instructions for cooking it.</w:t>
      </w:r>
    </w:p>
    <w:p>
      <w:pPr>
        <w:spacing w:after="160"/>
      </w:pPr>
    </w:p>
    <w:p>
      <w:pPr>
        <w:pStyle w:val="Heading2"/>
        <w:spacing w:before="260" w:after="100"/>
      </w:pPr>
      <w:r>
        <w:rPr>
          <w:b/>
          <w:bCs/>
        </w:rPr>
        <w:t xml:space="preserve">The Three Things You MUST Have to File a Case</w:t>
      </w:r>
    </w:p>
    <w:p>
      <w:pPr>
        <w:spacing w:after="100"/>
      </w:pPr>
      <w:r>
        <w:t xml:space="preserve">Before you can even start a lawsuit, you need ALL THREE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Requirement</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Plain English Question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Subject Matter Jurisdiction (SMJ)</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Can this TYPE of court hear this TYPE of case?</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Personal Jurisdiction (PJ)</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Can this court drag THIS defendant into court here?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3. Venue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Is this a convenient/fair LOCATION for this case?</w:t>
            </w:r>
          </w:p>
        </w:tc>
      </w:tr>
    </w:tbl>
    <w:p>
      <w:pPr>
        <w:spacing w:after="160"/>
      </w:pPr>
    </w:p>
    <w:p>
      <w:pPr>
        <w:pBdr>
          <w:left w:val="single" w:color="CC3333" w:sz="6" w:space="8"/>
        </w:pBdr>
        <w:spacing w:before="120" w:after="120"/>
        <w:ind w:left="360"/>
      </w:pPr>
      <w:r>
        <w:rPr>
          <w:sz w:val="22"/>
          <w:szCs w:val="22"/>
        </w:rPr>
        <w:t xml:space="preserve">⚠️ </w:t>
      </w:r>
      <w:r>
        <w:rPr>
          <w:b/>
          <w:bCs/>
          <w:color w:val="CC3333"/>
          <w:sz w:val="21"/>
          <w:szCs w:val="21"/>
        </w:rPr>
        <w:t xml:space="preserve">Prof. Semeraro says: You MUST understand the difference between PJ and venue. Don’t just vaguely get it — constantly ask yourself what makes them different.</w:t>
      </w:r>
    </w:p>
    <w:p>
      <w:pPr>
        <w:spacing w:after="160"/>
      </w:pPr>
    </w:p>
    <w:p>
      <w:pPr>
        <w:pStyle w:val="Heading2"/>
        <w:spacing w:before="260" w:after="100"/>
      </w:pPr>
      <w:r>
        <w:rPr>
          <w:b/>
          <w:bCs/>
        </w:rPr>
        <w:t xml:space="preserve">How a Lawsuit Flows (The 30,000-Foot View)</w:t>
      </w:r>
    </w:p>
    <w:p>
      <w:pPr>
        <w:pStyle w:val="ListParagraph"/>
        <w:numPr>
          <w:ilvl w:val="0"/>
          <w:numId w:val="2"/>
        </w:numPr>
        <w:spacing w:after="60"/>
      </w:pPr>
      <w:r>
        <w:t xml:space="preserve">Filing: Plaintiff files complaint with the court (case officially begins!)</w:t>
      </w:r>
    </w:p>
    <w:p>
      <w:pPr>
        <w:pStyle w:val="ListParagraph"/>
        <w:numPr>
          <w:ilvl w:val="0"/>
          <w:numId w:val="2"/>
        </w:numPr>
        <w:spacing w:after="60"/>
      </w:pPr>
      <w:r>
        <w:t xml:space="preserve">Service: Plaintiff serves defendant with the complaint + summons</w:t>
      </w:r>
    </w:p>
    <w:p>
      <w:pPr>
        <w:pStyle w:val="ListParagraph"/>
        <w:numPr>
          <w:ilvl w:val="0"/>
          <w:numId w:val="2"/>
        </w:numPr>
        <w:spacing w:after="60"/>
      </w:pPr>
      <w:r>
        <w:t xml:space="preserve">Pleadings: Both sides say what they agree/disagree on</w:t>
      </w:r>
    </w:p>
    <w:p>
      <w:pPr>
        <w:pStyle w:val="ListParagraph"/>
        <w:numPr>
          <w:ilvl w:val="0"/>
          <w:numId w:val="2"/>
        </w:numPr>
        <w:spacing w:after="60"/>
      </w:pPr>
      <w:r>
        <w:t xml:space="preserve">Discovery: Parties dig up evidence (this takes 10–20x more time than trial!)</w:t>
      </w:r>
    </w:p>
    <w:p>
      <w:pPr>
        <w:pStyle w:val="ListParagraph"/>
        <w:numPr>
          <w:ilvl w:val="0"/>
          <w:numId w:val="2"/>
        </w:numPr>
        <w:spacing w:after="60"/>
      </w:pPr>
      <w:r>
        <w:t xml:space="preserve">Pre-Trial Motions: Motion to dismiss, summary judgment</w:t>
      </w:r>
    </w:p>
    <w:p>
      <w:pPr>
        <w:pStyle w:val="ListParagraph"/>
        <w:numPr>
          <w:ilvl w:val="0"/>
          <w:numId w:val="2"/>
        </w:numPr>
        <w:spacing w:after="60"/>
      </w:pPr>
      <w:r>
        <w:t xml:space="preserve">Trial: Judge decides law, jury decides facts</w:t>
      </w:r>
    </w:p>
    <w:p>
      <w:pPr>
        <w:pStyle w:val="ListParagraph"/>
        <w:numPr>
          <w:ilvl w:val="0"/>
          <w:numId w:val="2"/>
        </w:numPr>
        <w:spacing w:after="60"/>
      </w:pPr>
      <w:r>
        <w:t xml:space="preserve">Post-Trial &amp; Appeals: Losing side can challenge the result</w:t>
      </w:r>
    </w:p>
    <w:p>
      <w:pPr>
        <w:spacing w:after="80"/>
      </w:pPr>
      <w:r>
        <w:rPr>
          <w:sz w:val="22"/>
          <w:szCs w:val="22"/>
        </w:rPr>
        <w:t xml:space="preserve">⭐ </w:t>
      </w:r>
      <w:r>
        <w:rPr>
          <w:b/>
          <w:bCs/>
        </w:rPr>
        <w:t xml:space="preserve">MOST cases settle before trial. Cases can settle at ANY point — even mid-trial.</w:t>
      </w:r>
    </w:p>
    <w:p>
      <w:pPr>
        <w:spacing w:after="160"/>
      </w:pPr>
    </w:p>
    <w:p>
      <w:pPr>
        <w:pStyle w:val="Heading2"/>
        <w:spacing w:before="260" w:after="100"/>
      </w:pPr>
      <w:r>
        <w:rPr>
          <w:b/>
          <w:bCs/>
        </w:rPr>
        <w:t xml:space="preserve">Presumptions &amp; Burdens — THE Secret Weapon</w:t>
      </w:r>
    </w:p>
    <w:p>
      <w:pPr>
        <w:spacing w:after="100"/>
      </w:pPr>
      <w:r>
        <w:rPr>
          <w:i/>
          <w:iCs/>
        </w:rPr>
        <w:t xml:space="preserve">"More cases are resolved based on who has the presumption and who has the burden than are resolved because of disagreements about what the law is." — Prof. Semeraro</w:t>
      </w:r>
    </w:p>
    <w:p>
      <w:pPr>
        <w:spacing w:after="160"/>
      </w:pPr>
    </w:p>
    <w:p>
      <w:pPr>
        <w:spacing w:after="100"/>
      </w:pPr>
      <w:r>
        <w:t xml:space="preserve">Translation: Before you even look at the law, figure out who’s starting ahead and who has to prove something.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Area</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Who Starts Winning?</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Who Has to Prove Something?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Torts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Defendant (presumed not liable)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Plaintiff must prove it (&gt;50%)</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Criminal</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Defendant (presumed innocent)</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Prosecution (beyond reasonable doubt)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State Court SMJ</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Court HAS it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Defendant must show it doesn’t</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Federal Court SMJ</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Court LACKS it</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Plaintiff must show it does</w:t>
            </w:r>
          </w:p>
        </w:tc>
      </w:tr>
    </w:tbl>
    <w:p>
      <w:pPr>
        <w:pBdr>
          <w:left w:val="single" w:color="E8A317" w:sz="6" w:space="8"/>
        </w:pBdr>
        <w:spacing w:before="120" w:after="120"/>
        <w:ind w:left="360"/>
      </w:pPr>
      <w:r>
        <w:rPr>
          <w:sz w:val="22"/>
          <w:szCs w:val="22"/>
        </w:rPr>
        <w:t xml:space="preserve">💡 </w:t>
      </w:r>
      <w:r>
        <w:rPr>
          <w:i/>
          <w:iCs/>
          <w:color w:val="555555"/>
          <w:sz w:val="21"/>
          <w:szCs w:val="21"/>
        </w:rPr>
        <w:t xml:space="preserve">ALWAYS ask yourself: What’s the presumption? Who has the burden? This will win you more points than memorizing rules.</w:t>
      </w:r>
    </w:p>
    <w:p>
      <w:pPr>
        <w:pBdr>
          <w:bottom w:val="single" w:color="2E4057" w:sz="3" w:space="1"/>
        </w:pBdr>
        <w:spacing w:before="240" w:after="240"/>
      </w:pPr>
    </w:p>
    <w:p>
      <w:pPr>
        <w:pStyle w:val="Heading1"/>
        <w:spacing w:before="360" w:after="120"/>
      </w:pPr>
      <w:r>
        <w:rPr>
          <w:b/>
          <w:bCs/>
        </w:rPr>
        <w:t xml:space="preserve">PART 2: THE COURT SYSTEMS</w:t>
      </w:r>
    </w:p>
    <w:p>
      <w:pPr>
        <w:spacing w:after="160"/>
      </w:pPr>
    </w:p>
    <w:p>
      <w:pPr>
        <w:pStyle w:val="Heading2"/>
        <w:spacing w:before="260" w:after="100"/>
      </w:pPr>
      <w:r>
        <w:rPr>
          <w:b/>
          <w:bCs/>
        </w:rPr>
        <w:t xml:space="preserve">Two Separate Systems Running Side by Side</w:t>
      </w:r>
    </w:p>
    <w:p>
      <w:pPr>
        <w:pStyle w:val="ListParagraph"/>
        <w:numPr>
          <w:ilvl w:val="0"/>
          <w:numId w:val="3"/>
        </w:numPr>
        <w:spacing w:after="60"/>
      </w:pPr>
      <w:r>
        <w:rPr>
          <w:b w:val="false"/>
          <w:bCs w:val="false"/>
        </w:rPr>
        <w:t xml:space="preserve">ONE federal court system</w:t>
      </w:r>
    </w:p>
    <w:p>
      <w:pPr>
        <w:pStyle w:val="ListParagraph"/>
        <w:numPr>
          <w:ilvl w:val="0"/>
          <w:numId w:val="3"/>
        </w:numPr>
        <w:spacing w:after="60"/>
      </w:pPr>
      <w:r>
        <w:rPr>
          <w:b w:val="false"/>
          <w:bCs w:val="false"/>
        </w:rPr>
        <w:t xml:space="preserve">50+ state court systems (each state + DC + territories)</w:t>
      </w:r>
    </w:p>
    <w:p>
      <w:pPr>
        <w:pStyle w:val="ListParagraph"/>
        <w:numPr>
          <w:ilvl w:val="0"/>
          <w:numId w:val="3"/>
        </w:numPr>
        <w:spacing w:after="60"/>
      </w:pPr>
      <w:r>
        <w:rPr>
          <w:b w:val="false"/>
          <w:bCs w:val="false"/>
        </w:rPr>
        <w:t xml:space="preserve">Each state system is independent and sovereign — they don’t answer to each other</w:t>
      </w:r>
    </w:p>
    <w:p>
      <w:pPr>
        <w:spacing w:after="160"/>
      </w:pPr>
    </w:p>
    <w:p>
      <w:pPr>
        <w:pStyle w:val="Heading2"/>
        <w:spacing w:before="260" w:after="100"/>
      </w:pPr>
      <w:r>
        <w:rPr>
          <w:b/>
          <w:bCs/>
        </w:rPr>
        <w:t xml:space="preserve">Every System Has 3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Level</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It Does</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Federal Name</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CA Name</w:t>
            </w:r>
          </w:p>
        </w:tc>
        <w:tc>
          <w:tcPr>
            <w:tcW w:type="dxa" w:w="1872"/>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NY Name (Tricky!)</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Trial</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Where cases start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District Court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Superior Court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Supreme Court (yes really)</w:t>
            </w:r>
          </w:p>
        </w:tc>
      </w:tr>
      <w:tr>
        <w:tc>
          <w:tcPr>
            <w:tcW w:type="dxa" w:w="1872"/>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Appeal</w:t>
            </w:r>
          </w:p>
        </w:tc>
        <w:tc>
          <w:tcPr>
            <w:tcW w:type="dxa" w:w="1872"/>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First appeal (as of right)</w:t>
            </w:r>
          </w:p>
        </w:tc>
        <w:tc>
          <w:tcPr>
            <w:tcW w:type="dxa" w:w="1872"/>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Circuit Court</w:t>
            </w:r>
          </w:p>
        </w:tc>
        <w:tc>
          <w:tcPr>
            <w:tcW w:type="dxa" w:w="1872"/>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Appellate Dist.</w:t>
            </w:r>
          </w:p>
        </w:tc>
        <w:tc>
          <w:tcPr>
            <w:tcW w:type="dxa" w:w="1872"/>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Appellate Division</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3. Top</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Picks which cases to hear</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U.S. Supreme Court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CA Supreme Court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Court of Appeals</w:t>
            </w:r>
          </w:p>
        </w:tc>
      </w:tr>
    </w:tbl>
    <w:p>
      <w:pPr>
        <w:pBdr>
          <w:left w:val="single" w:color="E8A317" w:sz="6" w:space="8"/>
        </w:pBdr>
        <w:spacing w:before="120" w:after="120"/>
        <w:ind w:left="360"/>
      </w:pPr>
      <w:r>
        <w:rPr>
          <w:sz w:val="22"/>
          <w:szCs w:val="22"/>
        </w:rPr>
        <w:t xml:space="preserve">💡 </w:t>
      </w:r>
      <w:r>
        <w:rPr>
          <w:i/>
          <w:iCs/>
          <w:color w:val="555555"/>
          <w:sz w:val="21"/>
          <w:szCs w:val="21"/>
        </w:rPr>
        <w:t xml:space="preserve">New York calls its TRIAL court the “Supreme Court” — don’t let that trick you on an exam!</w:t>
      </w:r>
    </w:p>
    <w:p>
      <w:pPr>
        <w:spacing w:after="160"/>
      </w:pPr>
    </w:p>
    <w:p>
      <w:pPr>
        <w:pStyle w:val="Heading3"/>
        <w:spacing w:before="200" w:after="80"/>
      </w:pPr>
      <w:r>
        <w:rPr>
          <w:b/>
          <w:bCs/>
        </w:rPr>
        <w:t xml:space="preserve">Federal Circuit Courts</w:t>
      </w:r>
    </w:p>
    <w:p>
      <w:pPr>
        <w:pStyle w:val="ListParagraph"/>
        <w:numPr>
          <w:ilvl w:val="0"/>
          <w:numId w:val="4"/>
        </w:numPr>
        <w:spacing w:after="60"/>
      </w:pPr>
      <w:r>
        <w:rPr>
          <w:b w:val="false"/>
          <w:bCs w:val="false"/>
        </w:rPr>
        <w:t xml:space="preserve">11 geographic circuits (we’re in the 9th Circuit — the biggest one)</w:t>
      </w:r>
    </w:p>
    <w:p>
      <w:pPr>
        <w:pStyle w:val="ListParagraph"/>
        <w:numPr>
          <w:ilvl w:val="0"/>
          <w:numId w:val="4"/>
        </w:numPr>
        <w:spacing w:after="60"/>
      </w:pPr>
      <w:r>
        <w:rPr>
          <w:b/>
          <w:bCs/>
        </w:rPr>
        <w:t xml:space="preserve">DC Circuit: </w:t>
      </w:r>
      <w:r>
        <w:t xml:space="preserve">Reviews federal agency decisions (FCC, FTC, etc.)</w:t>
      </w:r>
    </w:p>
    <w:p>
      <w:pPr>
        <w:pStyle w:val="ListParagraph"/>
        <w:numPr>
          <w:ilvl w:val="0"/>
          <w:numId w:val="4"/>
        </w:numPr>
        <w:spacing w:after="60"/>
      </w:pPr>
      <w:r>
        <w:rPr>
          <w:b/>
          <w:bCs/>
        </w:rPr>
        <w:t xml:space="preserve">Federal Circuit: </w:t>
      </w:r>
      <w:r>
        <w:t xml:space="preserve">Newest — handles patent appeals</w:t>
      </w:r>
    </w:p>
    <w:p>
      <w:pPr>
        <w:spacing w:after="160"/>
      </w:pPr>
    </w:p>
    <w:p>
      <w:pPr>
        <w:pStyle w:val="Heading2"/>
        <w:spacing w:before="260" w:after="100"/>
      </w:pPr>
      <w:r>
        <w:rPr>
          <w:b/>
          <w:bCs/>
        </w:rPr>
        <w:t xml:space="preserve">Historical Tidbit: Law vs. Equity</w:t>
      </w:r>
    </w:p>
    <w:p>
      <w:pPr>
        <w:pStyle w:val="ListParagraph"/>
        <w:numPr>
          <w:ilvl w:val="0"/>
          <w:numId w:val="5"/>
        </w:numPr>
        <w:spacing w:after="60"/>
      </w:pPr>
      <w:r>
        <w:rPr>
          <w:b w:val="false"/>
          <w:bCs w:val="false"/>
        </w:rPr>
        <w:t xml:space="preserve">Before 1938: Separate courts for money damages (law) vs. court orders/injunctions (equity)</w:t>
      </w:r>
    </w:p>
    <w:p>
      <w:pPr>
        <w:pStyle w:val="ListParagraph"/>
        <w:numPr>
          <w:ilvl w:val="0"/>
          <w:numId w:val="5"/>
        </w:numPr>
        <w:spacing w:after="60"/>
      </w:pPr>
      <w:r>
        <w:rPr>
          <w:b w:val="false"/>
          <w:bCs w:val="false"/>
        </w:rPr>
        <w:t xml:space="preserve">1938 Federal Rules of Civil Procedure: Merged them into ONE system</w:t>
      </w:r>
    </w:p>
    <w:p>
      <w:pPr>
        <w:pStyle w:val="ListParagraph"/>
        <w:numPr>
          <w:ilvl w:val="0"/>
          <w:numId w:val="5"/>
        </w:numPr>
        <w:spacing w:after="60"/>
      </w:pPr>
      <w:r>
        <w:rPr>
          <w:b w:val="false"/>
          <w:bCs w:val="false"/>
        </w:rPr>
        <w:t xml:space="preserve">Now the same court can give you damages AND an injunction (Rule 2)</w:t>
      </w:r>
    </w:p>
    <w:p>
      <w:pPr>
        <w:pBdr>
          <w:bottom w:val="single" w:color="2E4057" w:sz="3" w:space="1"/>
        </w:pBdr>
        <w:spacing w:before="240" w:after="240"/>
      </w:pPr>
    </w:p>
    <w:p>
      <w:pPr>
        <w:pStyle w:val="Heading1"/>
        <w:spacing w:before="360" w:after="120"/>
      </w:pPr>
      <w:r>
        <w:rPr>
          <w:b/>
          <w:bCs/>
        </w:rPr>
        <w:t xml:space="preserve">PART 3: THE FOUNDATIONAL FEDERAL RULES (1–7)</w:t>
      </w:r>
    </w:p>
    <w:p>
      <w:pPr>
        <w:spacing w:after="160"/>
      </w:pPr>
    </w:p>
    <w:p>
      <w:pPr>
        <w:pBdr>
          <w:left w:val="single" w:color="CC3333" w:sz="6" w:space="8"/>
        </w:pBdr>
        <w:spacing w:before="120" w:after="120"/>
        <w:ind w:left="360"/>
      </w:pPr>
      <w:r>
        <w:rPr>
          <w:sz w:val="22"/>
          <w:szCs w:val="22"/>
        </w:rPr>
        <w:t xml:space="preserve">⚠️ </w:t>
      </w:r>
      <w:r>
        <w:rPr>
          <w:b/>
          <w:bCs/>
          <w:color w:val="CC3333"/>
          <w:sz w:val="21"/>
          <w:szCs w:val="21"/>
        </w:rPr>
        <w:t xml:space="preserve">Prof. Semeraro: NEVER skip reading the Federal Rules. If time is limited, skim the casebook but ALWAYS read the rules.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Rule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It Does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Why You Care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Rule 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"Just, speedy, inexpensive determination"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Use when opponent raises BS technical objections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Rule 2</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Merged law + equity into one action</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Court can give damages AND injunctions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Rule 3 ⭐</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Case starts when complaint FILED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This is what stops the statute of limitations clock</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Rule 5</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Service AFTER the first complaint</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Way easier than Rule 4 — any reasonable method works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Rule 6 ⭐</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How to count deadlines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Don’t count filing day, count weekends, last day = next biz day if weekend</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Rule 7</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Lists allowed pleadings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Complaint, Answer, Reply (rare)</w:t>
            </w:r>
          </w:p>
        </w:tc>
      </w:tr>
    </w:tbl>
    <w:p>
      <w:pPr>
        <w:pBdr>
          <w:bottom w:val="single" w:color="2E4057" w:sz="3" w:space="1"/>
        </w:pBdr>
        <w:spacing w:before="240" w:after="240"/>
      </w:pPr>
    </w:p>
    <w:p>
      <w:pPr>
        <w:pStyle w:val="Heading1"/>
        <w:spacing w:before="360" w:after="120"/>
      </w:pPr>
      <w:r>
        <w:rPr>
          <w:b/>
          <w:bCs/>
        </w:rPr>
        <w:t xml:space="preserve">PART 4: SUBJECT MATTER JURISDICTION — CAN THIS COURT HEAR THIS CASE?</w:t>
      </w:r>
    </w:p>
    <w:p>
      <w:pPr>
        <w:spacing w:after="160"/>
      </w:pPr>
    </w:p>
    <w:p>
      <w:pPr>
        <w:pStyle w:val="Heading2"/>
        <w:spacing w:before="260" w:after="100"/>
      </w:pPr>
      <w:r>
        <w:rPr>
          <w:b/>
          <w:bCs/>
        </w:rPr>
        <w:t xml:space="preserve">State Courts = Easy Mode</w:t>
      </w:r>
    </w:p>
    <w:p>
      <w:pPr>
        <w:pStyle w:val="ListParagraph"/>
        <w:numPr>
          <w:ilvl w:val="0"/>
          <w:numId w:val="6"/>
        </w:numPr>
        <w:spacing w:after="60"/>
      </w:pPr>
      <w:r>
        <w:rPr>
          <w:b w:val="false"/>
          <w:bCs w:val="false"/>
        </w:rPr>
        <w:t xml:space="preserve">State courts are courts of GENERAL jurisdiction — they can hear almost anything</w:t>
      </w:r>
    </w:p>
    <w:p>
      <w:pPr>
        <w:pStyle w:val="ListParagraph"/>
        <w:numPr>
          <w:ilvl w:val="0"/>
          <w:numId w:val="6"/>
        </w:numPr>
        <w:spacing w:after="60"/>
      </w:pPr>
      <w:r>
        <w:rPr>
          <w:b w:val="false"/>
          <w:bCs w:val="false"/>
        </w:rPr>
        <w:t xml:space="preserve">Presumption: State court HAS SMJ (defendant has to prove otherwise)</w:t>
      </w:r>
    </w:p>
    <w:p>
      <w:pPr>
        <w:pStyle w:val="ListParagraph"/>
        <w:numPr>
          <w:ilvl w:val="0"/>
          <w:numId w:val="6"/>
        </w:numPr>
        <w:spacing w:after="60"/>
      </w:pPr>
      <w:r>
        <w:rPr>
          <w:b w:val="false"/>
          <w:bCs w:val="false"/>
        </w:rPr>
        <w:t xml:space="preserve">They can even hear federal law cases!</w:t>
      </w:r>
    </w:p>
    <w:p>
      <w:pPr>
        <w:pStyle w:val="ListParagraph"/>
        <w:numPr>
          <w:ilvl w:val="0"/>
          <w:numId w:val="6"/>
        </w:numPr>
        <w:spacing w:after="60"/>
      </w:pPr>
      <w:r>
        <w:rPr>
          <w:b/>
          <w:bCs/>
        </w:rPr>
        <w:t xml:space="preserve">Only exception: </w:t>
      </w:r>
      <w:r>
        <w:t xml:space="preserve">Congress says “only federal courts can hear this” (patent, bankruptcy, antitrust, securities)</w:t>
      </w:r>
    </w:p>
    <w:p>
      <w:pPr>
        <w:spacing w:after="160"/>
      </w:pPr>
    </w:p>
    <w:p>
      <w:pPr>
        <w:pBdr>
          <w:left w:val="single" w:color="CC3333" w:sz="6" w:space="8"/>
        </w:pBdr>
        <w:spacing w:before="120" w:after="120"/>
        <w:ind w:left="360"/>
      </w:pPr>
      <w:r>
        <w:rPr>
          <w:sz w:val="22"/>
          <w:szCs w:val="22"/>
        </w:rPr>
        <w:t xml:space="preserve">⚠️ </w:t>
      </w:r>
      <w:r>
        <w:rPr>
          <w:b/>
          <w:bCs/>
          <w:color w:val="CC3333"/>
          <w:sz w:val="21"/>
          <w:szCs w:val="21"/>
        </w:rPr>
        <w:t xml:space="preserve">Common mistake #1: “Diversity is met so plaintiff MUST file in federal court.” WRONG! Diversity just OPENS the door. Plaintiff can always choose state court.</w:t>
      </w:r>
    </w:p>
    <w:p>
      <w:pPr>
        <w:pBdr>
          <w:left w:val="single" w:color="CC3333" w:sz="6" w:space="8"/>
        </w:pBdr>
        <w:spacing w:before="120" w:after="120"/>
        <w:ind w:left="360"/>
      </w:pPr>
      <w:r>
        <w:rPr>
          <w:sz w:val="22"/>
          <w:szCs w:val="22"/>
        </w:rPr>
        <w:t xml:space="preserve">⚠️ </w:t>
      </w:r>
      <w:r>
        <w:rPr>
          <w:b/>
          <w:bCs/>
          <w:color w:val="CC3333"/>
          <w:sz w:val="21"/>
          <w:szCs w:val="21"/>
        </w:rPr>
        <w:t xml:space="preserve">Common mistake #2: “This is a federal statute so it MUST go to federal court.” WRONG! State courts can hear federal claims unless Congress explicitly said otherwise.</w:t>
      </w:r>
    </w:p>
    <w:p>
      <w:pPr>
        <w:spacing w:after="160"/>
      </w:pPr>
    </w:p>
    <w:p>
      <w:pPr>
        <w:pStyle w:val="Heading2"/>
        <w:spacing w:before="260" w:after="100"/>
      </w:pPr>
      <w:r>
        <w:rPr>
          <w:b/>
          <w:bCs/>
        </w:rPr>
        <w:t xml:space="preserve">Federal Courts = Need a Ticket In</w:t>
      </w:r>
    </w:p>
    <w:p>
      <w:pPr>
        <w:spacing w:after="100"/>
      </w:pPr>
      <w:r>
        <w:t xml:space="preserve">Federal courts are courts of LIMITED jurisdiction. Presumption: Court LACKS SMJ. Plaintiff must prove one of these bases:</w:t>
      </w:r>
    </w:p>
    <w:p>
      <w:pPr>
        <w:spacing w:after="160"/>
      </w:pPr>
    </w:p>
    <w:p>
      <w:pPr>
        <w:pStyle w:val="Heading3"/>
        <w:spacing w:before="200" w:after="80"/>
      </w:pPr>
      <w:r>
        <w:rPr>
          <w:b/>
          <w:bCs/>
        </w:rPr>
        <w:t xml:space="preserve">Ticket #1: Federal Question (28 U.S.C. § 1331)</w:t>
      </w:r>
    </w:p>
    <w:p>
      <w:pPr>
        <w:pStyle w:val="ListParagraph"/>
        <w:numPr>
          <w:ilvl w:val="0"/>
          <w:numId w:val="7"/>
        </w:numPr>
        <w:spacing w:after="60"/>
      </w:pPr>
      <w:r>
        <w:rPr>
          <w:b w:val="false"/>
          <w:bCs w:val="false"/>
        </w:rPr>
        <w:t xml:space="preserve">The claim must ARISE UNDER federal law (Constitution, statute, or treaty)</w:t>
      </w:r>
    </w:p>
    <w:p>
      <w:pPr>
        <w:pStyle w:val="ListParagraph"/>
        <w:numPr>
          <w:ilvl w:val="0"/>
          <w:numId w:val="7"/>
        </w:numPr>
        <w:spacing w:after="60"/>
      </w:pPr>
      <w:r>
        <w:rPr>
          <w:b w:val="false"/>
          <w:bCs w:val="false"/>
        </w:rPr>
        <w:t xml:space="preserve">NO amount in controversy required</w:t>
      </w:r>
    </w:p>
    <w:p>
      <w:pPr>
        <w:pStyle w:val="ListParagraph"/>
        <w:numPr>
          <w:ilvl w:val="0"/>
          <w:numId w:val="7"/>
        </w:numPr>
        <w:spacing w:after="60"/>
      </w:pPr>
      <w:r>
        <w:rPr>
          <w:b w:val="false"/>
          <w:bCs w:val="false"/>
        </w:rPr>
        <w:t xml:space="preserve">The federal issue must be in the PLAINTIFF’S complaint — not defendant’s defense</w:t>
      </w:r>
    </w:p>
    <w:p>
      <w:pPr>
        <w:spacing w:after="160"/>
      </w:pPr>
    </w:p>
    <w:p>
      <w:pPr>
        <w:pStyle w:val="Heading3"/>
        <w:spacing w:before="200" w:after="80"/>
      </w:pPr>
      <w:r>
        <w:rPr>
          <w:b/>
          <w:bCs/>
        </w:rPr>
        <w:t xml:space="preserve">The Well-Pleaded Complaint Rule ⭐</w:t>
      </w:r>
    </w:p>
    <w:p>
      <w:pPr>
        <w:spacing w:after="100"/>
      </w:pPr>
      <w:r>
        <w:t xml:space="preserve">This trips people up. Here’s the simple version:</w:t>
      </w:r>
    </w:p>
    <w:p>
      <w:pPr>
        <w:spacing w:after="160"/>
      </w:pPr>
    </w:p>
    <w:p>
      <w:pPr>
        <w:spacing w:after="100"/>
      </w:pPr>
      <w:r>
        <w:rPr>
          <w:b/>
          <w:bCs/>
        </w:rPr>
        <w:t xml:space="preserve">Look ONLY at what the plaintiff has to prove to win. </w:t>
      </w:r>
      <w:r>
        <w:t xml:space="preserve">If federal law isn’t part of those elements, there’s no federal question. Period.</w:t>
      </w:r>
    </w:p>
    <w:p>
      <w:pPr>
        <w:spacing w:after="160"/>
      </w:pPr>
    </w:p>
    <w:p>
      <w:pPr>
        <w:pStyle w:val="Heading3"/>
        <w:spacing w:before="200" w:after="80"/>
      </w:pPr>
      <w:r>
        <w:rPr>
          <w:b/>
          <w:bCs/>
        </w:rPr>
        <w:t xml:space="preserve">What Does NOT Create Federal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Thing</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Why Not</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Defendant’s defense is based on federal law</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Not part of plaintiff’s claim</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Defendant’s counterclaim is federal</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That’s defendant’s claim, not plaintiff’s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Plaintiff anticipates a federal defense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This is called “artful pleading” — not allowed</w:t>
            </w:r>
          </w:p>
        </w:tc>
      </w:tr>
    </w:tbl>
    <w:p>
      <w:pPr>
        <w:spacing w:after="160"/>
      </w:pPr>
    </w:p>
    <w:p>
      <w:pPr>
        <w:pStyle w:val="Heading3"/>
        <w:spacing w:before="200" w:after="80"/>
      </w:pPr>
      <w:r>
        <w:rPr>
          <w:b/>
          <w:bCs/>
        </w:rPr>
        <w:t xml:space="preserve">The Mottley Case — Keep This in Your Head Forever</w:t>
      </w:r>
    </w:p>
    <w:p>
      <w:pPr>
        <w:pStyle w:val="ListParagraph"/>
        <w:numPr>
          <w:ilvl w:val="0"/>
          <w:numId w:val="8"/>
        </w:numPr>
        <w:spacing w:after="60"/>
      </w:pPr>
      <w:r>
        <w:rPr>
          <w:b w:val="false"/>
          <w:bCs w:val="false"/>
        </w:rPr>
        <w:t xml:space="preserve">Railroad injured passengers → gave them lifetime passes as settlement</w:t>
      </w:r>
    </w:p>
    <w:p>
      <w:pPr>
        <w:pStyle w:val="ListParagraph"/>
        <w:numPr>
          <w:ilvl w:val="0"/>
          <w:numId w:val="8"/>
        </w:numPr>
        <w:spacing w:after="60"/>
      </w:pPr>
      <w:r>
        <w:rPr>
          <w:b w:val="false"/>
          <w:bCs w:val="false"/>
        </w:rPr>
        <w:t xml:space="preserve">Congress later banned lifetime passes → railroad revoked the passes</w:t>
      </w:r>
    </w:p>
    <w:p>
      <w:pPr>
        <w:pStyle w:val="ListParagraph"/>
        <w:numPr>
          <w:ilvl w:val="0"/>
          <w:numId w:val="8"/>
        </w:numPr>
        <w:spacing w:after="60"/>
      </w:pPr>
      <w:r>
        <w:rPr>
          <w:b w:val="false"/>
          <w:bCs w:val="false"/>
        </w:rPr>
        <w:t xml:space="preserve">Passengers sued for breach of contract</w:t>
      </w:r>
    </w:p>
    <w:p>
      <w:pPr>
        <w:spacing w:after="160"/>
      </w:pPr>
    </w:p>
    <w:p>
      <w:pPr>
        <w:spacing w:after="100"/>
      </w:pPr>
      <w:r>
        <w:rPr>
          <w:b/>
          <w:bCs/>
        </w:rPr>
        <w:t xml:space="preserve">Plaintiff’s elements: </w:t>
      </w:r>
      <w:r>
        <w:t xml:space="preserve">(1) Contract existed, (2) Railroad breached it — both are STATE law!</w:t>
      </w:r>
    </w:p>
    <w:p>
      <w:pPr>
        <w:spacing w:after="100"/>
      </w:pPr>
      <w:r>
        <w:rPr>
          <w:b/>
          <w:bCs/>
        </w:rPr>
        <w:t xml:space="preserve">The federal statute? </w:t>
      </w:r>
      <w:r>
        <w:t xml:space="preserve">That’s the railroad’s DEFENSE (“Congress made us do it”). Defense ≠ federal question.</w:t>
      </w:r>
    </w:p>
    <w:p>
      <w:pPr>
        <w:spacing w:after="100"/>
      </w:pPr>
      <w:r>
        <w:rPr>
          <w:b/>
          <w:bCs/>
        </w:rPr>
        <w:t xml:space="preserve">Result: </w:t>
      </w:r>
      <w:r>
        <w:t xml:space="preserve">No federal question jurisdiction.</w:t>
      </w:r>
    </w:p>
    <w:p>
      <w:pPr>
        <w:pBdr>
          <w:left w:val="single" w:color="E8A317" w:sz="6" w:space="8"/>
        </w:pBdr>
        <w:spacing w:before="120" w:after="120"/>
        <w:ind w:left="360"/>
      </w:pPr>
      <w:r>
        <w:rPr>
          <w:sz w:val="22"/>
          <w:szCs w:val="22"/>
        </w:rPr>
        <w:t xml:space="preserve">💡 </w:t>
      </w:r>
      <w:r>
        <w:rPr>
          <w:i/>
          <w:iCs/>
          <w:color w:val="555555"/>
          <w:sz w:val="21"/>
          <w:szCs w:val="21"/>
        </w:rPr>
        <w:t xml:space="preserve">Prof. Semeraro’s tip: Keep a fact pattern in your head (like Mottley) that shows how the well-pleaded complaint rule works. It’s the best way to remember and apply it.</w:t>
      </w:r>
    </w:p>
    <w:p>
      <w:pPr>
        <w:spacing w:after="160"/>
      </w:pPr>
    </w:p>
    <w:p>
      <w:pPr>
        <w:pStyle w:val="Heading3"/>
        <w:spacing w:before="200" w:after="80"/>
      </w:pPr>
      <w:r>
        <w:rPr>
          <w:b/>
          <w:bCs/>
        </w:rPr>
        <w:t xml:space="preserve">Tricky Situation: Federal Law Embedded in State Law</w:t>
      </w:r>
    </w:p>
    <w:p>
      <w:pPr>
        <w:spacing w:after="100"/>
      </w:pPr>
      <w:r>
        <w:t xml:space="preserve">Sometimes state law references federal law (like “deductible if deductible under federal tax law”). Three-factor balancing test:</w:t>
      </w:r>
    </w:p>
    <w:p>
      <w:pPr>
        <w:pStyle w:val="ListParagraph"/>
        <w:numPr>
          <w:ilvl w:val="0"/>
          <w:numId w:val="9"/>
        </w:numPr>
        <w:spacing w:after="60"/>
      </w:pPr>
      <w:r>
        <w:t xml:space="preserve">Is interpreting federal law critical to the case?</w:t>
      </w:r>
    </w:p>
    <w:p>
      <w:pPr>
        <w:pStyle w:val="ListParagraph"/>
        <w:numPr>
          <w:ilvl w:val="0"/>
          <w:numId w:val="9"/>
        </w:numPr>
        <w:spacing w:after="60"/>
      </w:pPr>
      <w:r>
        <w:t xml:space="preserve">Is there uncertainty in federal law that needs uniform resolution?</w:t>
      </w:r>
    </w:p>
    <w:p>
      <w:pPr>
        <w:pStyle w:val="ListParagraph"/>
        <w:numPr>
          <w:ilvl w:val="0"/>
          <w:numId w:val="9"/>
        </w:numPr>
        <w:spacing w:after="60"/>
      </w:pPr>
      <w:r>
        <w:t xml:space="preserve">Would allowing FQJ flood federal courts with routine state cases?</w:t>
      </w:r>
    </w:p>
    <w:p>
      <w:pPr>
        <w:pBdr>
          <w:left w:val="single" w:color="E8A317" w:sz="6" w:space="8"/>
        </w:pBdr>
        <w:spacing w:before="120" w:after="120"/>
        <w:ind w:left="360"/>
      </w:pPr>
      <w:r>
        <w:rPr>
          <w:sz w:val="22"/>
          <w:szCs w:val="22"/>
        </w:rPr>
        <w:t xml:space="preserve">💡 </w:t>
      </w:r>
      <w:r>
        <w:rPr>
          <w:i/>
          <w:iCs/>
          <w:color w:val="555555"/>
          <w:sz w:val="21"/>
          <w:szCs w:val="21"/>
        </w:rPr>
        <w:t xml:space="preserve">This is fact-intensive and unlikely to be heavily tested. Just spot the issue when state law incorporates federal law.</w:t>
      </w:r>
    </w:p>
    <w:p>
      <w:pPr>
        <w:spacing w:after="160"/>
      </w:pPr>
    </w:p>
    <w:p>
      <w:pPr>
        <w:pStyle w:val="Heading3"/>
        <w:spacing w:before="200" w:after="80"/>
      </w:pPr>
      <w:r>
        <w:rPr>
          <w:b/>
          <w:bCs/>
        </w:rPr>
        <w:t xml:space="preserve">The Two-Step Process for Federal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Step</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It Asks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Constitution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Does the Constitution ALLOW Congress to create this jurisdiction?</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Statute</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Did Congress ACTUALLY create it?</w:t>
            </w:r>
          </w:p>
        </w:tc>
      </w:tr>
    </w:tbl>
    <w:p>
      <w:pPr>
        <w:spacing w:after="100"/>
      </w:pPr>
      <w:r>
        <w:rPr>
          <w:b/>
          <w:bCs/>
        </w:rPr>
        <w:t xml:space="preserve">Key insight: </w:t>
      </w:r>
      <w:r>
        <w:t xml:space="preserve">Congress made diversity NARROWER than the Constitution allows. Constitution requires only minimal diversity; Congress requires COMPLETE diversity. Constitution has no amount requirement; Congress requires &gt;$75K.</w:t>
      </w:r>
    </w:p>
    <w:p>
      <w:pPr>
        <w:spacing w:after="160"/>
      </w:pPr>
    </w:p>
    <w:p>
      <w:pPr>
        <w:pStyle w:val="Heading3"/>
        <w:spacing w:before="200" w:after="80"/>
      </w:pPr>
      <w:r>
        <w:rPr>
          <w:b/>
          <w:bCs/>
        </w:rPr>
        <w:t xml:space="preserve">Ticket #2: Diversity Jurisdiction (28 U.S.C. § 1332)</w:t>
      </w:r>
    </w:p>
    <w:p>
      <w:pPr>
        <w:spacing w:after="100"/>
      </w:pPr>
      <w:r>
        <w:t xml:space="preserve">Federal SMJ based on WHO the parties are, not WHAT the case is about.</w:t>
      </w:r>
    </w:p>
    <w:p>
      <w:pPr>
        <w:spacing w:after="160"/>
      </w:pPr>
    </w:p>
    <w:p>
      <w:pPr>
        <w:spacing w:after="100"/>
      </w:pPr>
      <w:r>
        <w:rPr>
          <w:b/>
          <w:bCs/>
        </w:rPr>
        <w:t xml:space="preserve">Two requirements — need BOTH:</w:t>
      </w:r>
      <w:r>
        <w:t xml:space="preserve"/>
      </w:r>
    </w:p>
    <w:p>
      <w:pPr>
        <w:pStyle w:val="ListParagraph"/>
        <w:numPr>
          <w:ilvl w:val="0"/>
          <w:numId w:val="10"/>
        </w:numPr>
        <w:spacing w:after="60"/>
      </w:pPr>
      <w:r>
        <w:t xml:space="preserve">Complete diversity: Every plaintiff must be from a different state than every defendant (ONE overlap = no diversity!)</w:t>
      </w:r>
    </w:p>
    <w:p>
      <w:pPr>
        <w:pStyle w:val="ListParagraph"/>
        <w:numPr>
          <w:ilvl w:val="0"/>
          <w:numId w:val="10"/>
        </w:numPr>
        <w:spacing w:after="60"/>
      </w:pPr>
      <w:r>
        <w:t xml:space="preserve">Amount in controversy must EXCEED $75,000 (good faith allegation; legal certainty test if challenged)</w:t>
      </w:r>
    </w:p>
    <w:p>
      <w:pPr>
        <w:spacing w:after="160"/>
      </w:pPr>
    </w:p>
    <w:p>
      <w:pPr>
        <w:pStyle w:val="Heading3"/>
        <w:spacing w:before="200" w:after="80"/>
      </w:pPr>
      <w:r>
        <w:rPr>
          <w:b/>
          <w:bCs/>
        </w:rPr>
        <w:t xml:space="preserve">Domicile Rules (Who’s a “Citizen” of Where?)</w:t>
      </w:r>
    </w:p>
    <w:p>
      <w:pPr>
        <w:spacing w:after="100"/>
      </w:pPr>
      <w:r>
        <w:t xml:space="preserve">This is the same test for diversity citizenship AND general PJ — learn it once, use it twice!</w:t>
      </w:r>
    </w:p>
    <w:p>
      <w:pPr>
        <w:spacing w:after="160"/>
      </w:pPr>
    </w:p>
    <w:p>
      <w:pPr>
        <w:spacing w:after="100"/>
      </w:pPr>
      <w:r>
        <w:rPr>
          <w:b/>
          <w:bCs/>
        </w:rPr>
        <w:t xml:space="preserve">Individuals:</w:t>
      </w:r>
      <w:r>
        <w:t xml:space="preserve"/>
      </w:r>
    </w:p>
    <w:p>
      <w:pPr>
        <w:pStyle w:val="ListParagraph"/>
        <w:numPr>
          <w:ilvl w:val="0"/>
          <w:numId w:val="11"/>
        </w:numPr>
        <w:spacing w:after="60"/>
      </w:pPr>
      <w:r>
        <w:rPr>
          <w:b w:val="false"/>
          <w:bCs w:val="false"/>
        </w:rPr>
        <w:t xml:space="preserve">Citizen of state where DOMICILED (where you live + intend to stay)</w:t>
      </w:r>
    </w:p>
    <w:p>
      <w:pPr>
        <w:pStyle w:val="ListParagraph"/>
        <w:numPr>
          <w:ilvl w:val="0"/>
          <w:numId w:val="11"/>
        </w:numPr>
        <w:spacing w:after="60"/>
      </w:pPr>
      <w:r>
        <w:rPr>
          <w:b w:val="false"/>
          <w:bCs w:val="false"/>
        </w:rPr>
        <w:t xml:space="preserve">Going to school somewhere with no plan to stay ≠ new domicile</w:t>
      </w:r>
    </w:p>
    <w:p>
      <w:pPr>
        <w:pStyle w:val="ListParagraph"/>
        <w:numPr>
          <w:ilvl w:val="0"/>
          <w:numId w:val="11"/>
        </w:numPr>
        <w:spacing w:after="60"/>
      </w:pPr>
      <w:r>
        <w:rPr>
          <w:b w:val="false"/>
          <w:bCs w:val="false"/>
        </w:rPr>
        <w:t xml:space="preserve">Need something MORE suggesting intent to stay permanently</w:t>
      </w:r>
    </w:p>
    <w:p>
      <w:pPr>
        <w:spacing w:after="160"/>
      </w:pPr>
    </w:p>
    <w:p>
      <w:pPr>
        <w:spacing w:after="100"/>
      </w:pPr>
      <w:r>
        <w:rPr>
          <w:b/>
          <w:bCs/>
        </w:rPr>
        <w:t xml:space="preserve">Corporations (can have TWO domiciles!):</w:t>
      </w:r>
      <w:r>
        <w:t xml:space="preserve"/>
      </w:r>
    </w:p>
    <w:p>
      <w:pPr>
        <w:pStyle w:val="ListParagraph"/>
        <w:numPr>
          <w:ilvl w:val="0"/>
          <w:numId w:val="12"/>
        </w:numPr>
        <w:spacing w:after="60"/>
      </w:pPr>
      <w:r>
        <w:t xml:space="preserve">State of incorporation</w:t>
      </w:r>
    </w:p>
    <w:p>
      <w:pPr>
        <w:pStyle w:val="ListParagraph"/>
        <w:numPr>
          <w:ilvl w:val="0"/>
          <w:numId w:val="12"/>
        </w:numPr>
        <w:spacing w:after="60"/>
      </w:pPr>
      <w:r>
        <w:t xml:space="preserve">Principal place of business = HEADQUARTERS (per Supreme Court)</w:t>
      </w:r>
    </w:p>
    <w:p>
      <w:pPr>
        <w:pStyle w:val="ListParagraph"/>
        <w:numPr>
          <w:ilvl w:val="1"/>
          <w:numId w:val="13"/>
        </w:numPr>
        <w:spacing w:after="60"/>
      </w:pPr>
      <w:r>
        <w:rPr>
          <w:b w:val="false"/>
          <w:bCs w:val="false"/>
        </w:rPr>
        <w:t xml:space="preserve">NOT where they manufacture</w:t>
      </w:r>
    </w:p>
    <w:p>
      <w:pPr>
        <w:pStyle w:val="ListParagraph"/>
        <w:numPr>
          <w:ilvl w:val="1"/>
          <w:numId w:val="13"/>
        </w:numPr>
        <w:spacing w:after="60"/>
      </w:pPr>
      <w:r>
        <w:rPr>
          <w:b w:val="false"/>
          <w:bCs w:val="false"/>
        </w:rPr>
        <w:t xml:space="preserve">NOT where they sell products</w:t>
      </w:r>
    </w:p>
    <w:p>
      <w:pPr>
        <w:pStyle w:val="ListParagraph"/>
        <w:numPr>
          <w:ilvl w:val="1"/>
          <w:numId w:val="13"/>
        </w:numPr>
        <w:spacing w:after="60"/>
      </w:pPr>
      <w:r>
        <w:rPr>
          <w:b w:val="false"/>
          <w:bCs w:val="false"/>
        </w:rPr>
        <w:t xml:space="preserve">JUST headquarters</w:t>
      </w:r>
    </w:p>
    <w:p>
      <w:pPr>
        <w:spacing w:after="160"/>
      </w:pPr>
    </w:p>
    <w:p>
      <w:pPr>
        <w:pBdr>
          <w:left w:val="single" w:color="CC3333" w:sz="6" w:space="8"/>
        </w:pBdr>
        <w:spacing w:before="120" w:after="120"/>
        <w:ind w:left="360"/>
      </w:pPr>
      <w:r>
        <w:rPr>
          <w:sz w:val="22"/>
          <w:szCs w:val="22"/>
        </w:rPr>
        <w:t xml:space="preserve">⚠️ </w:t>
      </w:r>
      <w:r>
        <w:rPr>
          <w:b/>
          <w:bCs/>
          <w:color w:val="CC3333"/>
          <w:sz w:val="21"/>
          <w:szCs w:val="21"/>
        </w:rPr>
        <w:t xml:space="preserve">For PJ and venue you WILL care about where corporations manufacture and sell. But for diversity? Just incorporation and HQ.</w:t>
      </w:r>
    </w:p>
    <w:p>
      <w:pPr>
        <w:spacing w:after="160"/>
      </w:pPr>
    </w:p>
    <w:p>
      <w:pPr>
        <w:pStyle w:val="Heading3"/>
        <w:spacing w:before="200" w:after="80"/>
      </w:pPr>
      <w:r>
        <w:rPr>
          <w:b/>
          <w:bCs/>
        </w:rPr>
        <w:t xml:space="preserve">Ticket #3: Supplemental Jurisdiction (28 U.S.C. § 1367)</w:t>
      </w:r>
    </w:p>
    <w:p>
      <w:pPr>
        <w:pStyle w:val="ListParagraph"/>
        <w:numPr>
          <w:ilvl w:val="0"/>
          <w:numId w:val="14"/>
        </w:numPr>
        <w:spacing w:after="60"/>
      </w:pPr>
      <w:r>
        <w:rPr>
          <w:b w:val="false"/>
          <w:bCs w:val="false"/>
        </w:rPr>
        <w:t xml:space="preserve">Allows federal court to hear related claims that wouldn’t independently qualify</w:t>
      </w:r>
    </w:p>
    <w:p>
      <w:pPr>
        <w:pStyle w:val="ListParagraph"/>
        <w:numPr>
          <w:ilvl w:val="0"/>
          <w:numId w:val="14"/>
        </w:numPr>
        <w:spacing w:after="60"/>
      </w:pPr>
      <w:r>
        <w:rPr>
          <w:b w:val="false"/>
          <w:bCs w:val="false"/>
        </w:rPr>
        <w:t xml:space="preserve">Test: Same “case or controversy” (transaction &amp; occurrence)</w:t>
      </w:r>
    </w:p>
    <w:p>
      <w:pPr>
        <w:pStyle w:val="ListParagraph"/>
        <w:numPr>
          <w:ilvl w:val="0"/>
          <w:numId w:val="14"/>
        </w:numPr>
        <w:spacing w:after="60"/>
      </w:pPr>
      <w:r>
        <w:rPr>
          <w:b/>
          <w:bCs/>
        </w:rPr>
        <w:t xml:space="preserve">§ 1367(b) limit: </w:t>
      </w:r>
      <w:r>
        <w:t xml:space="preserve">In diversity-only cases, plaintiffs can’t use supplemental jurisdiction to sneak around the complete diversity requirement</w:t>
      </w:r>
    </w:p>
    <w:p>
      <w:pPr>
        <w:spacing w:after="160"/>
      </w:pPr>
    </w:p>
    <w:p>
      <w:pPr>
        <w:spacing w:after="80"/>
      </w:pPr>
      <w:r>
        <w:rPr>
          <w:sz w:val="22"/>
          <w:szCs w:val="22"/>
        </w:rPr>
        <w:t xml:space="preserve">⭐ </w:t>
      </w:r>
      <w:r>
        <w:rPr>
          <w:b/>
          <w:bCs/>
        </w:rPr>
        <w:t xml:space="preserve">THE UNICORN RULE: SMJ Can NEVER Be Waived</w:t>
      </w:r>
    </w:p>
    <w:p>
      <w:pPr>
        <w:pStyle w:val="ListParagraph"/>
        <w:numPr>
          <w:ilvl w:val="0"/>
          <w:numId w:val="15"/>
        </w:numPr>
        <w:spacing w:after="60"/>
      </w:pPr>
      <w:r>
        <w:rPr>
          <w:b w:val="false"/>
          <w:bCs w:val="false"/>
        </w:rPr>
        <w:t xml:space="preserve">Can be raised at ANY time — even after a jury verdict</w:t>
      </w:r>
    </w:p>
    <w:p>
      <w:pPr>
        <w:pStyle w:val="ListParagraph"/>
        <w:numPr>
          <w:ilvl w:val="0"/>
          <w:numId w:val="15"/>
        </w:numPr>
        <w:spacing w:after="60"/>
      </w:pPr>
      <w:r>
        <w:rPr>
          <w:b w:val="false"/>
          <w:bCs w:val="false"/>
        </w:rPr>
        <w:t xml:space="preserve">Court MUST dismiss on its own if it discovers no SMJ</w:t>
      </w:r>
    </w:p>
    <w:p>
      <w:pPr>
        <w:pStyle w:val="ListParagraph"/>
        <w:numPr>
          <w:ilvl w:val="0"/>
          <w:numId w:val="15"/>
        </w:numPr>
        <w:spacing w:after="60"/>
      </w:pPr>
      <w:r>
        <w:rPr>
          <w:b w:val="false"/>
          <w:bCs w:val="false"/>
        </w:rPr>
        <w:t xml:space="preserve">This is what makes SMJ special compared to PJ and venue (both waivable)</w:t>
      </w:r>
    </w:p>
    <w:p>
      <w:pPr>
        <w:pBdr>
          <w:bottom w:val="single" w:color="2E4057" w:sz="3" w:space="1"/>
        </w:pBdr>
        <w:spacing w:before="240" w:after="240"/>
      </w:pPr>
    </w:p>
    <w:p>
      <w:pPr>
        <w:pStyle w:val="Heading1"/>
        <w:spacing w:before="360" w:after="120"/>
      </w:pPr>
      <w:r>
        <w:rPr>
          <w:b/>
          <w:bCs/>
        </w:rPr>
        <w:t xml:space="preserve">PART 5: PERSONAL JURISDICTION — CAN THIS COURT GRAB THIS DEFENDANT?</w:t>
      </w:r>
    </w:p>
    <w:p>
      <w:pPr>
        <w:spacing w:after="160"/>
      </w:pPr>
    </w:p>
    <w:p>
      <w:pPr>
        <w:spacing w:after="100"/>
      </w:pPr>
      <w:r>
        <w:t xml:space="preserve">PJ is about FAIRNESS. Can this court force this particular defendant to show up and defend themselves here? It’s about whether the defendant has enough connection to this place that it’s fair to make them come.</w:t>
      </w:r>
    </w:p>
    <w:p>
      <w:pPr>
        <w:spacing w:after="160"/>
      </w:pPr>
    </w:p>
    <w:p>
      <w:pPr>
        <w:pStyle w:val="Heading2"/>
        <w:spacing w:before="260" w:after="100"/>
      </w:pPr>
      <w:r>
        <w:rPr>
          <w:b/>
          <w:bCs/>
        </w:rPr>
        <w:t xml:space="preserve">The 5 Components of PJ (Don’t Just Focus on Due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Component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Plain English</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Due Process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Would it be FAIR to force D to defend here?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Long-Arm Statute</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Has the state legislature said “we authorize reaching this 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Proper Service Method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Was D served in a way the law allows?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4</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Correct Documents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Were the papers right? (complaint, summons, filled out correctly)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Actual Notice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Did D actually find out about the case? (rarely an issue)</w:t>
            </w:r>
          </w:p>
        </w:tc>
      </w:tr>
    </w:tbl>
    <w:p>
      <w:pPr>
        <w:pBdr>
          <w:left w:val="single" w:color="E8A317" w:sz="6" w:space="8"/>
        </w:pBdr>
        <w:spacing w:before="120" w:after="120"/>
        <w:ind w:left="360"/>
      </w:pPr>
      <w:r>
        <w:rPr>
          <w:sz w:val="22"/>
          <w:szCs w:val="22"/>
        </w:rPr>
        <w:t xml:space="preserve">💡 </w:t>
      </w:r>
      <w:r>
        <w:rPr>
          <w:i/>
          <w:iCs/>
          <w:color w:val="555555"/>
          <w:sz w:val="21"/>
          <w:szCs w:val="21"/>
        </w:rPr>
        <w:t xml:space="preserve">Due process is the CEILING (what’s constitutionally allowed). The long-arm statute is the AUTHORITY (what’s actually authorized). You need BOTH. Passing one doesn’t guarantee the other.</w:t>
      </w:r>
    </w:p>
    <w:p>
      <w:pPr>
        <w:spacing w:after="160"/>
      </w:pPr>
    </w:p>
    <w:p>
      <w:pPr>
        <w:pStyle w:val="Heading2"/>
        <w:spacing w:before="260" w:after="100"/>
      </w:pPr>
      <w:r>
        <w:rPr>
          <w:b/>
          <w:bCs/>
        </w:rPr>
        <w:t xml:space="preserve">Long-Arm Statutes: Two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Type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How It Works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Example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Coextensive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If Constitution allows it, we allow it. One analysis.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California</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Restrictive</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NARROWER than Constitution. State adds extra limits.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New York (e.g., requires D physically present when tort committed)</w:t>
            </w:r>
          </w:p>
        </w:tc>
      </w:tr>
    </w:tbl>
    <w:p>
      <w:pPr>
        <w:spacing w:after="160"/>
      </w:pPr>
    </w:p>
    <w:p>
      <w:pPr>
        <w:pStyle w:val="Heading2"/>
        <w:spacing w:before="260" w:after="100"/>
      </w:pPr>
      <w:r>
        <w:rPr>
          <w:b/>
          <w:bCs/>
        </w:rPr>
        <w:t xml:space="preserve">The Historical Evolution (How We Got Here)</w:t>
      </w:r>
    </w:p>
    <w:p>
      <w:pPr>
        <w:spacing w:after="160"/>
      </w:pPr>
    </w:p>
    <w:p>
      <w:pPr>
        <w:pStyle w:val="Heading3"/>
        <w:spacing w:before="200" w:after="80"/>
      </w:pPr>
      <w:r>
        <w:rPr>
          <w:b/>
          <w:bCs/>
        </w:rPr>
        <w:t xml:space="preserve">1. Pennoyer v. Neff (1877) — The Old Rule</w:t>
      </w:r>
    </w:p>
    <w:p>
      <w:pPr>
        <w:spacing w:after="100"/>
      </w:pPr>
      <w:r>
        <w:rPr>
          <w:b/>
          <w:bCs/>
        </w:rPr>
        <w:t xml:space="preserve">Rule: </w:t>
      </w:r>
      <w:r>
        <w:t xml:space="preserve">You could ONLY get PJ over an out-of-state defendant if you physically served them while they were IN the state.</w:t>
      </w:r>
    </w:p>
    <w:p>
      <w:pPr>
        <w:spacing w:after="100"/>
      </w:pPr>
      <w:r>
        <w:t xml:space="preserve">Simple but rigid. Became unworkable as commerce and travel expanded.</w:t>
      </w:r>
    </w:p>
    <w:p>
      <w:pPr>
        <w:spacing w:after="160"/>
      </w:pPr>
    </w:p>
    <w:p>
      <w:pPr>
        <w:pStyle w:val="Heading3"/>
        <w:spacing w:before="200" w:after="80"/>
      </w:pPr>
      <w:r>
        <w:rPr>
          <w:b/>
          <w:bCs/>
        </w:rPr>
        <w:t xml:space="preserve">2. Hess v. Pawloski — Constructive Consent</w:t>
      </w:r>
    </w:p>
    <w:p>
      <w:pPr>
        <w:spacing w:after="100"/>
      </w:pPr>
      <w:r>
        <w:rPr>
          <w:b/>
          <w:bCs/>
        </w:rPr>
        <w:t xml:space="preserve">Rule: </w:t>
      </w:r>
      <w:r>
        <w:t xml:space="preserve">If you USE a state’s benefits (like driving on its highways), you constructively CONSENT to being sued there for claims arising from that use.</w:t>
      </w:r>
    </w:p>
    <w:p>
      <w:pPr>
        <w:spacing w:after="100"/>
      </w:pPr>
      <w:r>
        <w:t xml:space="preserve">“Constructive” = you didn’t really consent, but we treat you as if you did.</w:t>
      </w:r>
    </w:p>
    <w:p>
      <w:pPr>
        <w:pBdr>
          <w:left w:val="single" w:color="E8A317" w:sz="6" w:space="8"/>
        </w:pBdr>
        <w:spacing w:before="120" w:after="120"/>
        <w:ind w:left="360"/>
      </w:pPr>
      <w:r>
        <w:rPr>
          <w:sz w:val="22"/>
          <w:szCs w:val="22"/>
        </w:rPr>
        <w:t xml:space="preserve">💡 </w:t>
      </w:r>
      <w:r>
        <w:rPr>
          <w:i/>
          <w:iCs/>
          <w:color w:val="555555"/>
          <w:sz w:val="21"/>
          <w:szCs w:val="21"/>
        </w:rPr>
        <w:t xml:space="preserve">This concept of “benefiting from the state” becomes the foundation for minimum contacts.</w:t>
      </w:r>
    </w:p>
    <w:p>
      <w:pPr>
        <w:spacing w:after="160"/>
      </w:pPr>
    </w:p>
    <w:p>
      <w:pPr>
        <w:pStyle w:val="Heading3"/>
        <w:spacing w:before="200" w:after="80"/>
      </w:pPr>
      <w:r>
        <w:rPr>
          <w:b/>
          <w:bCs/>
        </w:rPr>
        <w:t xml:space="preserve">3. International Shoe v. Washington (1945) — THE Modern Test</w:t>
      </w:r>
    </w:p>
    <w:p>
      <w:pPr>
        <w:spacing w:after="100"/>
      </w:pPr>
      <w:r>
        <w:rPr>
          <w:b/>
          <w:bCs/>
        </w:rPr>
        <w:t xml:space="preserve">Rule: </w:t>
      </w:r>
      <w:r>
        <w:t xml:space="preserve">A court can exercise PJ if the defendant has “sufficient minimum contacts” with the state such that exercising jurisdiction wouldn’t offend “traditional notions of fair play and substantial justice.”</w:t>
      </w:r>
    </w:p>
    <w:p>
      <w:pPr>
        <w:pBdr>
          <w:left w:val="single" w:color="E8A317" w:sz="6" w:space="8"/>
        </w:pBdr>
        <w:spacing w:before="120" w:after="120"/>
        <w:ind w:left="360"/>
      </w:pPr>
      <w:r>
        <w:rPr>
          <w:sz w:val="22"/>
          <w:szCs w:val="22"/>
        </w:rPr>
        <w:t xml:space="preserve">💡 </w:t>
      </w:r>
      <w:r>
        <w:rPr>
          <w:i/>
          <w:iCs/>
          <w:color w:val="555555"/>
          <w:sz w:val="21"/>
          <w:szCs w:val="21"/>
        </w:rPr>
        <w:t xml:space="preserve">Prof. Semeraro: When you hear “minimum contacts,” think “SUFFICIENT contacts” — are there ENOUGH contacts to make it fair?</w:t>
      </w:r>
    </w:p>
    <w:p>
      <w:pPr>
        <w:spacing w:after="160"/>
      </w:pPr>
    </w:p>
    <w:p>
      <w:pPr>
        <w:pStyle w:val="Heading2"/>
        <w:spacing w:before="260" w:after="100"/>
      </w:pPr>
      <w:r>
        <w:rPr>
          <w:b/>
          <w:bCs/>
        </w:rPr>
        <w:t xml:space="preserve">Why Does Due Process Limit PJ? (The Constitutional Hook)</w:t>
      </w:r>
    </w:p>
    <w:p>
      <w:pPr>
        <w:pStyle w:val="ListParagraph"/>
        <w:numPr>
          <w:ilvl w:val="0"/>
          <w:numId w:val="16"/>
        </w:numPr>
        <w:spacing w:after="60"/>
      </w:pPr>
      <w:r>
        <w:t xml:space="preserve">Fairness to defendant — inconvenience of defending far from home (smaller concern)</w:t>
      </w:r>
    </w:p>
    <w:p>
      <w:pPr>
        <w:pStyle w:val="ListParagraph"/>
        <w:numPr>
          <w:ilvl w:val="0"/>
          <w:numId w:val="16"/>
        </w:numPr>
        <w:spacing w:after="60"/>
      </w:pPr>
      <w:r>
        <w:t xml:space="preserve">Federalism/State sovereignty — states shouldn’t reach into other states and grab their citizens without good reason (BIGGER concern)</w:t>
      </w:r>
    </w:p>
    <w:p>
      <w:pPr>
        <w:spacing w:after="160"/>
      </w:pPr>
    </w:p>
    <w:p>
      <w:pPr>
        <w:spacing w:after="100"/>
      </w:pPr>
      <w:r>
        <w:t xml:space="preserve">“Foreign” defendant does NOT mean foreign country — it means someone who’s not a resident of the forum state.</w:t>
      </w:r>
    </w:p>
    <w:p>
      <w:pPr>
        <w:spacing w:after="160"/>
      </w:pPr>
    </w:p>
    <w:p>
      <w:pPr>
        <w:pStyle w:val="Heading2"/>
        <w:spacing w:before="260" w:after="100"/>
      </w:pPr>
      <w:r>
        <w:rPr>
          <w:b/>
          <w:bCs/>
        </w:rPr>
        <w:t xml:space="preserve">The Three Old Categories (Still Show Up in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Type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It Means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Remedy Available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In Personam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Jurisdiction over the person themselves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ANY of D’s assets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In Rem</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Jurisdiction over D’s property that the case is ABOUT</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Limited to that property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Quasi In Rem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Using D’s property as a hook when you can’t get in personam PJ</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Limited to property’s value</w:t>
            </w:r>
          </w:p>
        </w:tc>
      </w:tr>
    </w:tbl>
    <w:p>
      <w:pPr>
        <w:pBdr>
          <w:left w:val="single" w:color="E8A317" w:sz="6" w:space="8"/>
        </w:pBdr>
        <w:spacing w:before="120" w:after="120"/>
        <w:ind w:left="360"/>
      </w:pPr>
      <w:r>
        <w:rPr>
          <w:sz w:val="22"/>
          <w:szCs w:val="22"/>
        </w:rPr>
        <w:t xml:space="preserve">💡 </w:t>
      </w:r>
      <w:r>
        <w:rPr>
          <w:i/>
          <w:iCs/>
          <w:color w:val="555555"/>
          <w:sz w:val="21"/>
          <w:szCs w:val="21"/>
        </w:rPr>
        <w:t xml:space="preserve">Prof. Semeraro says don’t stress these distinctions too much. Modern law runs everything through minimum contacts analysis regardless.</w:t>
      </w:r>
    </w:p>
    <w:p>
      <w:pPr>
        <w:spacing w:after="160"/>
      </w:pPr>
    </w:p>
    <w:p>
      <w:pPr>
        <w:pStyle w:val="Heading2"/>
        <w:spacing w:before="260" w:after="100"/>
      </w:pPr>
      <w:r>
        <w:rPr>
          <w:b/>
          <w:bCs/>
        </w:rPr>
        <w:t xml:space="preserve">THE 4 WAYS TO SATISFY DUE PROCESS</w:t>
      </w:r>
    </w:p>
    <w:p>
      <w:pPr>
        <w:pBdr>
          <w:left w:val="single" w:color="CC3333" w:sz="6" w:space="8"/>
        </w:pBdr>
        <w:spacing w:before="120" w:after="120"/>
        <w:ind w:left="360"/>
      </w:pPr>
      <w:r>
        <w:rPr>
          <w:sz w:val="22"/>
          <w:szCs w:val="22"/>
        </w:rPr>
        <w:t xml:space="preserve">⚠️ </w:t>
      </w:r>
      <w:r>
        <w:rPr>
          <w:b/>
          <w:bCs/>
          <w:color w:val="CC3333"/>
          <w:sz w:val="21"/>
          <w:szCs w:val="21"/>
        </w:rPr>
        <w:t xml:space="preserve">Bar exam tip: Don’t just discuss the obvious one. Hit ALL that could apply to get full points.</w:t>
      </w:r>
    </w:p>
    <w:p>
      <w:pPr>
        <w:spacing w:after="160"/>
      </w:pPr>
    </w:p>
    <w:p>
      <w:pPr>
        <w:pStyle w:val="Heading3"/>
        <w:spacing w:before="200" w:after="80"/>
      </w:pPr>
      <w:r>
        <w:rPr>
          <w:b/>
          <w:bCs/>
        </w:rPr>
        <w:t xml:space="preserve">Way #1: General Jurisdiction (“At Home”)</w:t>
      </w:r>
    </w:p>
    <w:p>
      <w:pPr>
        <w:spacing w:after="100"/>
      </w:pPr>
      <w:r>
        <w:t xml:space="preserve">Defendant is “at home” in the state. Can be sued there for ANYTHING — the claim doesn’t need to relate to the state at all.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Defendant Type</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Where Are They “At Home”?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Individual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State of domicile (where they live + intend to stay)</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Corporation</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State of incorporation OR principal place of business (HQ)</w:t>
            </w:r>
          </w:p>
        </w:tc>
      </w:tr>
    </w:tbl>
    <w:p>
      <w:pPr>
        <w:spacing w:after="160"/>
      </w:pPr>
    </w:p>
    <w:p>
      <w:pPr>
        <w:spacing w:after="100"/>
      </w:pPr>
      <w:r>
        <w:rPr>
          <w:b/>
          <w:bCs/>
        </w:rPr>
        <w:t xml:space="preserve">Key case — Daimler v. Bauman (2014): </w:t>
      </w:r>
      <w:r>
        <w:t xml:space="preserve">Daimler (German company) sold TONS of cars in California. Plaintiffs from Argentina sued in CA for injuries in Argentina. Court said NO — even massive business contacts don’t make a corporation “at home.” Only incorporation state or HQ counts.</w:t>
      </w:r>
    </w:p>
    <w:p>
      <w:pPr>
        <w:pBdr>
          <w:left w:val="single" w:color="E8A317" w:sz="6" w:space="8"/>
        </w:pBdr>
        <w:spacing w:before="120" w:after="120"/>
        <w:ind w:left="360"/>
      </w:pPr>
      <w:r>
        <w:rPr>
          <w:sz w:val="22"/>
          <w:szCs w:val="22"/>
        </w:rPr>
        <w:t xml:space="preserve">💡 </w:t>
      </w:r>
      <w:r>
        <w:rPr>
          <w:i/>
          <w:iCs/>
          <w:color w:val="555555"/>
          <w:sz w:val="21"/>
          <w:szCs w:val="21"/>
        </w:rPr>
        <w:t xml:space="preserve">This is the same test as diversity citizenship! Learn it once, use it for both.</w:t>
      </w:r>
    </w:p>
    <w:p>
      <w:pPr>
        <w:spacing w:after="160"/>
      </w:pPr>
    </w:p>
    <w:p>
      <w:pPr>
        <w:pStyle w:val="Heading3"/>
        <w:spacing w:before="200" w:after="80"/>
      </w:pPr>
      <w:r>
        <w:rPr>
          <w:b/>
          <w:bCs/>
        </w:rPr>
        <w:t xml:space="preserve">Way #2: Consent / Waiver</w:t>
      </w:r>
    </w:p>
    <w:p>
      <w:pPr>
        <w:pStyle w:val="ListParagraph"/>
        <w:numPr>
          <w:ilvl w:val="0"/>
          <w:numId w:val="17"/>
        </w:numPr>
        <w:spacing w:after="60"/>
      </w:pPr>
      <w:r>
        <w:rPr>
          <w:b/>
          <w:bCs/>
        </w:rPr>
        <w:t xml:space="preserve">Explicit consent: </w:t>
      </w:r>
      <w:r>
        <w:t xml:space="preserve">D agreed to PJ (like registering to do business in a state)</w:t>
      </w:r>
    </w:p>
    <w:p>
      <w:pPr>
        <w:pStyle w:val="ListParagraph"/>
        <w:numPr>
          <w:ilvl w:val="0"/>
          <w:numId w:val="17"/>
        </w:numPr>
        <w:spacing w:after="60"/>
      </w:pPr>
      <w:r>
        <w:rPr>
          <w:b/>
          <w:bCs/>
        </w:rPr>
        <w:t xml:space="preserve">Waiver: </w:t>
      </w:r>
      <w:r>
        <w:t xml:space="preserve">D filed a Rule 12 motion but forgot to include PJ objection</w:t>
      </w:r>
    </w:p>
    <w:p>
      <w:pPr>
        <w:spacing w:after="80"/>
      </w:pPr>
      <w:r>
        <w:rPr>
          <w:sz w:val="22"/>
          <w:szCs w:val="22"/>
        </w:rPr>
        <w:t xml:space="preserve">⭐ </w:t>
      </w:r>
      <w:r>
        <w:rPr>
          <w:b/>
          <w:bCs/>
        </w:rPr>
        <w:t xml:space="preserve">KEY: If you file ANY Rule 12 motion without raising PJ, you’ve waived it FOREVER (one bite at apple rule).</w:t>
      </w:r>
    </w:p>
    <w:p>
      <w:pPr>
        <w:spacing w:after="160"/>
      </w:pPr>
    </w:p>
    <w:p>
      <w:pPr>
        <w:pStyle w:val="Heading3"/>
        <w:spacing w:before="200" w:after="80"/>
      </w:pPr>
      <w:r>
        <w:rPr>
          <w:b/>
          <w:bCs/>
        </w:rPr>
        <w:t xml:space="preserve">Way #3: Specific Jurisdiction ⭐ (THE HARD ONE)</w:t>
      </w:r>
    </w:p>
    <w:p>
      <w:pPr>
        <w:spacing w:after="100"/>
      </w:pPr>
      <w:r>
        <w:t xml:space="preserve">D is NOT at home but has contacts with the state. Three-step analysis: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Step</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Question</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Key Details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Contacts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Are D’s contacts SUFFICIENT?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Purposeful availment + foreseeability of being SUED there (not just product ending up there)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Arising Out Of</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Does the CASE arise from those contacts?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Per Ford v. Montana: same TYPE of activity is enough. STUDENTS FORGET THIS STEP!</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3. Fairness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Do fairness factors weigh AGAINST jurisdiction?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Can BLOCK jurisdiction but can NEVER CREATE it</w:t>
            </w:r>
          </w:p>
        </w:tc>
      </w:tr>
    </w:tbl>
    <w:p>
      <w:pPr>
        <w:spacing w:after="160"/>
      </w:pPr>
    </w:p>
    <w:p>
      <w:pPr>
        <w:spacing w:after="100"/>
      </w:pPr>
      <w:r>
        <w:rPr>
          <w:b/>
          <w:bCs/>
        </w:rPr>
        <w:t xml:space="preserve">Fairness factors: </w:t>
      </w:r>
      <w:r>
        <w:t xml:space="preserve">burden on D, forum state’s interest, plaintiff’s interest in convenient forum, where evidence/witnesses are located.</w:t>
      </w:r>
    </w:p>
    <w:p>
      <w:pPr>
        <w:spacing w:after="160"/>
      </w:pPr>
    </w:p>
    <w:p>
      <w:pPr>
        <w:pStyle w:val="Heading3"/>
        <w:spacing w:before="200" w:after="80"/>
      </w:pPr>
      <w:r>
        <w:rPr>
          <w:b/>
          <w:bCs/>
        </w:rPr>
        <w:t xml:space="preserve">Key Specific Jurisdiction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Case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Happened</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Rule to Remember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World-Wide VW (1980)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NY dealership sold car; car ended up in OK accident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Product traveling somewhere ≠ foreseeability of being SUED there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Burger King (1985)</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20-year franchise with continuing obligations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Contracts reaching into forum state CAN establish PJ</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Asahi (1987)</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Product in stream of commerce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Court SPLIT on knowledge alone. Fairness blocked PJ anyway</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Ford v. Montana (2021)</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“Arise from” doesn’t require exact transaction in forum</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Same TYPE of activity (selling same model car) = enough</w:t>
            </w:r>
          </w:p>
        </w:tc>
      </w:tr>
    </w:tbl>
    <w:p>
      <w:pPr>
        <w:spacing w:after="160"/>
      </w:pPr>
    </w:p>
    <w:p>
      <w:pPr>
        <w:pStyle w:val="Heading3"/>
        <w:spacing w:before="200" w:after="80"/>
      </w:pPr>
      <w:r>
        <w:rPr>
          <w:b/>
          <w:bCs/>
        </w:rPr>
        <w:t xml:space="preserve">Stream of Commerce (Asahi) — The Unresolved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Approach</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Standard</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Stream + PLUS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Additional conduct targeting forum (advertising, designing for that market) = ALL justices agree this is enough</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Knowledge Only</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DISPUTED: some say knowledge product will reach forum is enough, others say no</w:t>
            </w:r>
          </w:p>
        </w:tc>
      </w:tr>
    </w:tbl>
    <w:p>
      <w:pPr>
        <w:pBdr>
          <w:left w:val="single" w:color="E8A317" w:sz="6" w:space="8"/>
        </w:pBdr>
        <w:spacing w:before="120" w:after="120"/>
        <w:ind w:left="360"/>
      </w:pPr>
      <w:r>
        <w:rPr>
          <w:sz w:val="22"/>
          <w:szCs w:val="22"/>
        </w:rPr>
        <w:t xml:space="preserve">💡 </w:t>
      </w:r>
      <w:r>
        <w:rPr>
          <w:i/>
          <w:iCs/>
          <w:color w:val="555555"/>
          <w:sz w:val="21"/>
          <w:szCs w:val="21"/>
        </w:rPr>
        <w:t xml:space="preserve">On an exam: discuss both sides of the split, then say fairness factors might resolve it either way.</w:t>
      </w:r>
    </w:p>
    <w:p>
      <w:pPr>
        <w:spacing w:after="160"/>
      </w:pPr>
    </w:p>
    <w:p>
      <w:pPr>
        <w:pStyle w:val="Heading3"/>
        <w:spacing w:before="200" w:after="80"/>
      </w:pPr>
      <w:r>
        <w:rPr>
          <w:b/>
          <w:bCs/>
        </w:rPr>
        <w:t xml:space="preserve">Way #4: Tag / Transient Jurisdiction</w:t>
      </w:r>
    </w:p>
    <w:p>
      <w:pPr>
        <w:pStyle w:val="ListParagraph"/>
        <w:numPr>
          <w:ilvl w:val="0"/>
          <w:numId w:val="18"/>
        </w:numPr>
        <w:spacing w:after="60"/>
      </w:pPr>
      <w:r>
        <w:rPr>
          <w:b w:val="false"/>
          <w:bCs w:val="false"/>
        </w:rPr>
        <w:t xml:space="preserve">D is served while physically present in the state (but not a resident)</w:t>
      </w:r>
    </w:p>
    <w:p>
      <w:pPr>
        <w:pStyle w:val="ListParagraph"/>
        <w:numPr>
          <w:ilvl w:val="0"/>
          <w:numId w:val="18"/>
        </w:numPr>
        <w:spacing w:after="60"/>
      </w:pPr>
      <w:r>
        <w:rPr>
          <w:b w:val="false"/>
          <w:bCs w:val="false"/>
        </w:rPr>
        <w:t xml:space="preserve">SCOTUS split on whether minimum contacts also needed (Burnham v. Superior Court, 1990)</w:t>
      </w:r>
    </w:p>
    <w:p>
      <w:pPr>
        <w:pStyle w:val="ListParagraph"/>
        <w:numPr>
          <w:ilvl w:val="0"/>
          <w:numId w:val="18"/>
        </w:numPr>
        <w:spacing w:after="60"/>
      </w:pPr>
      <w:r>
        <w:rPr>
          <w:b/>
          <w:bCs/>
        </w:rPr>
        <w:t xml:space="preserve">WORKS: </w:t>
      </w:r>
      <w:r>
        <w:t xml:space="preserve">If D was voluntarily in the state</w:t>
      </w:r>
    </w:p>
    <w:p>
      <w:pPr>
        <w:pStyle w:val="ListParagraph"/>
        <w:numPr>
          <w:ilvl w:val="0"/>
          <w:numId w:val="18"/>
        </w:numPr>
        <w:spacing w:after="60"/>
      </w:pPr>
      <w:r>
        <w:rPr>
          <w:b/>
          <w:bCs/>
        </w:rPr>
        <w:t xml:space="preserve">FAILS: </w:t>
      </w:r>
      <w:r>
        <w:t xml:space="preserve">If D was compelled (subpoenaed) or tricked into coming</w:t>
      </w:r>
    </w:p>
    <w:p>
      <w:pPr>
        <w:pBdr>
          <w:left w:val="single" w:color="CC3333" w:sz="6" w:space="8"/>
        </w:pBdr>
        <w:spacing w:before="120" w:after="120"/>
        <w:ind w:left="360"/>
      </w:pPr>
      <w:r>
        <w:rPr>
          <w:sz w:val="22"/>
          <w:szCs w:val="22"/>
        </w:rPr>
        <w:t xml:space="preserve">⚠️ </w:t>
      </w:r>
      <w:r>
        <w:rPr>
          <w:b/>
          <w:bCs/>
          <w:color w:val="CC3333"/>
          <w:sz w:val="21"/>
          <w:szCs w:val="21"/>
        </w:rPr>
        <w:t xml:space="preserve">Transient jurisdiction remains UNRESOLVED. Pure “tag” jurisdiction (served while passing through) — no definitive ruling.</w:t>
      </w:r>
    </w:p>
    <w:p>
      <w:pPr>
        <w:spacing w:after="160"/>
      </w:pPr>
    </w:p>
    <w:p>
      <w:pPr>
        <w:pStyle w:val="Heading2"/>
        <w:spacing w:before="260" w:after="100"/>
      </w:pPr>
      <w:r>
        <w:rPr>
          <w:b/>
          <w:bCs/>
        </w:rPr>
        <w:t xml:space="preserve">Federal Court Personal Jurisdiction</w:t>
      </w:r>
    </w:p>
    <w:p>
      <w:pPr>
        <w:pStyle w:val="ListParagraph"/>
        <w:numPr>
          <w:ilvl w:val="0"/>
          <w:numId w:val="19"/>
        </w:numPr>
        <w:spacing w:after="60"/>
      </w:pPr>
      <w:r>
        <w:rPr>
          <w:b/>
          <w:bCs/>
        </w:rPr>
        <w:t xml:space="preserve">Rule 4(k)(1)(A): </w:t>
      </w:r>
      <w:r>
        <w:t xml:space="preserve">Federal court PJ = state court PJ where the federal court sits</w:t>
      </w:r>
    </w:p>
    <w:p>
      <w:pPr>
        <w:pStyle w:val="ListParagraph"/>
        <w:numPr>
          <w:ilvl w:val="0"/>
          <w:numId w:val="19"/>
        </w:numPr>
        <w:spacing w:after="60"/>
      </w:pPr>
      <w:r>
        <w:rPr>
          <w:b w:val="false"/>
          <w:bCs w:val="false"/>
        </w:rPr>
        <w:t xml:space="preserve">San Diego federal court has the same PJ reach as California state court</w:t>
      </w:r>
    </w:p>
    <w:p>
      <w:pPr>
        <w:spacing w:after="160"/>
      </w:pPr>
    </w:p>
    <w:p>
      <w:pPr>
        <w:pStyle w:val="Heading3"/>
        <w:spacing w:before="200" w:after="80"/>
      </w:pPr>
      <w:r>
        <w:rPr>
          <w:b/>
          <w:bCs/>
        </w:rPr>
        <w:t xml:space="preserve">The Bulge Provision — Rule 4(k)(1)(B)</w:t>
      </w:r>
    </w:p>
    <w:p>
      <w:pPr>
        <w:pStyle w:val="ListParagraph"/>
        <w:numPr>
          <w:ilvl w:val="0"/>
          <w:numId w:val="20"/>
        </w:numPr>
        <w:spacing w:after="60"/>
      </w:pPr>
      <w:r>
        <w:rPr>
          <w:b w:val="false"/>
          <w:bCs w:val="false"/>
        </w:rPr>
        <w:t xml:space="preserve">Federal court can serve within 100 miles of courthouse, even across state lines</w:t>
      </w:r>
    </w:p>
    <w:p>
      <w:pPr>
        <w:pStyle w:val="ListParagraph"/>
        <w:numPr>
          <w:ilvl w:val="0"/>
          <w:numId w:val="20"/>
        </w:numPr>
        <w:spacing w:after="60"/>
      </w:pPr>
      <w:r>
        <w:rPr>
          <w:b/>
          <w:bCs/>
        </w:rPr>
        <w:t xml:space="preserve">VERY narrow: </w:t>
      </w:r>
      <w:r>
        <w:t xml:space="preserve">ONLY applies to parties joined under Rules 14/19 (third-party defendants)</w:t>
      </w:r>
    </w:p>
    <w:p>
      <w:pPr>
        <w:pStyle w:val="ListParagraph"/>
        <w:numPr>
          <w:ilvl w:val="0"/>
          <w:numId w:val="20"/>
        </w:numPr>
        <w:spacing w:after="60"/>
      </w:pPr>
      <w:r>
        <w:rPr>
          <w:b w:val="false"/>
          <w:bCs w:val="false"/>
        </w:rPr>
        <w:t xml:space="preserve">NOT original defendants sued by plaintiff</w:t>
      </w:r>
    </w:p>
    <w:p>
      <w:pPr>
        <w:pStyle w:val="ListParagraph"/>
        <w:numPr>
          <w:ilvl w:val="0"/>
          <w:numId w:val="20"/>
        </w:numPr>
        <w:spacing w:after="60"/>
      </w:pPr>
      <w:r>
        <w:rPr>
          <w:b w:val="false"/>
          <w:bCs w:val="false"/>
        </w:rPr>
        <w:t xml:space="preserve">Must be within U.S. territory (can’t serve in Tijuana from San Diego!)</w:t>
      </w:r>
    </w:p>
    <w:p>
      <w:pPr>
        <w:spacing w:after="160"/>
      </w:pPr>
    </w:p>
    <w:p>
      <w:pPr>
        <w:pStyle w:val="Heading3"/>
        <w:spacing w:before="200" w:after="80"/>
      </w:pPr>
      <w:r>
        <w:rPr>
          <w:b/>
          <w:bCs/>
        </w:rPr>
        <w:t xml:space="preserve">State vs. Federal PJ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State Courts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Federal Courts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Constitutional Limits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Due process significantly limits (geographically limited)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Due process restricts LESS (nationwide system)</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Statutory Authorization</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Long-arm statutes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Rule 4 — piggybacks on state law</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Practical Result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Roughly EQUAL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Because Rule 4 limits fed courts to state court PJ</w:t>
            </w:r>
          </w:p>
        </w:tc>
      </w:tr>
    </w:tbl>
    <w:p>
      <w:pPr>
        <w:pBdr>
          <w:left w:val="single" w:color="E8A317" w:sz="6" w:space="8"/>
        </w:pBdr>
        <w:spacing w:before="120" w:after="120"/>
        <w:ind w:left="360"/>
      </w:pPr>
      <w:r>
        <w:rPr>
          <w:sz w:val="22"/>
          <w:szCs w:val="22"/>
        </w:rPr>
        <w:t xml:space="preserve">💡 </w:t>
      </w:r>
      <w:r>
        <w:rPr>
          <w:i/>
          <w:iCs/>
          <w:color w:val="555555"/>
          <w:sz w:val="21"/>
          <w:szCs w:val="21"/>
        </w:rPr>
        <w:t xml:space="preserve">Federal courts COULD constitutionally reach further, but Rule 4 voluntarily limits them to what state courts can do.</w:t>
      </w:r>
    </w:p>
    <w:p>
      <w:pPr>
        <w:pBdr>
          <w:bottom w:val="single" w:color="2E4057" w:sz="3" w:space="1"/>
        </w:pBdr>
        <w:spacing w:before="240" w:after="240"/>
      </w:pPr>
    </w:p>
    <w:p>
      <w:pPr>
        <w:pStyle w:val="Heading1"/>
        <w:spacing w:before="360" w:after="120"/>
      </w:pPr>
      <w:r>
        <w:rPr>
          <w:b/>
          <w:bCs/>
        </w:rPr>
        <w:t xml:space="preserve">PART 6: VENUE — WHERE SHOULD THIS CASE BE HEARD?</w:t>
      </w:r>
    </w:p>
    <w:p>
      <w:pPr>
        <w:spacing w:after="160"/>
      </w:pPr>
    </w:p>
    <w:p>
      <w:pPr>
        <w:spacing w:after="100"/>
      </w:pPr>
      <w:r>
        <w:t xml:space="preserve">Venue is about CONVENIENCE — where parties live, where witnesses are, where documents are. It’s the practical “where” question.</w:t>
      </w:r>
    </w:p>
    <w:p>
      <w:pPr>
        <w:spacing w:after="160"/>
      </w:pPr>
    </w:p>
    <w:p>
      <w:pPr>
        <w:pStyle w:val="Heading2"/>
        <w:spacing w:before="260" w:after="100"/>
      </w:pPr>
      <w:r>
        <w:rPr>
          <w:b/>
          <w:bCs/>
        </w:rPr>
        <w:t xml:space="preserve">Three Options (28 U.S.C. § 1391)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Option</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Test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Key Details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D Resides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Where defendant lives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Individuals: domicile. Corps: min contacts with DISTRICT (not state!) ⭐</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Events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Where substantial part of events occurred</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Multiple districts can qualify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3. Catchall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If Ds are in different STATES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Rarely used</w:t>
            </w:r>
          </w:p>
        </w:tc>
      </w:tr>
    </w:tbl>
    <w:p>
      <w:pPr>
        <w:pBdr>
          <w:left w:val="single" w:color="CC3333" w:sz="6" w:space="8"/>
        </w:pBdr>
        <w:spacing w:before="120" w:after="120"/>
        <w:ind w:left="360"/>
      </w:pPr>
      <w:r>
        <w:rPr>
          <w:sz w:val="22"/>
          <w:szCs w:val="22"/>
        </w:rPr>
        <w:t xml:space="preserve">⚠️ </w:t>
      </w:r>
      <w:r>
        <w:rPr>
          <w:b/>
          <w:bCs/>
          <w:color w:val="CC3333"/>
          <w:sz w:val="21"/>
          <w:szCs w:val="21"/>
        </w:rPr>
        <w:t xml:space="preserve">Corporate venue is measured DISTRICT by DISTRICT, not statewide. This is different from PJ (which is statewide)!</w:t>
      </w:r>
    </w:p>
    <w:p>
      <w:pPr>
        <w:spacing w:after="160"/>
      </w:pPr>
    </w:p>
    <w:p>
      <w:pPr>
        <w:pStyle w:val="Heading2"/>
        <w:spacing w:before="260" w:after="100"/>
      </w:pPr>
      <w:r>
        <w:rPr>
          <w:b/>
          <w:bCs/>
        </w:rPr>
        <w:t xml:space="preserve">Transfer</w:t>
      </w:r>
    </w:p>
    <w:p>
      <w:pPr>
        <w:pStyle w:val="ListParagraph"/>
        <w:numPr>
          <w:ilvl w:val="0"/>
          <w:numId w:val="21"/>
        </w:numPr>
        <w:spacing w:after="60"/>
      </w:pPr>
      <w:r>
        <w:rPr>
          <w:b/>
          <w:bCs/>
        </w:rPr>
        <w:t xml:space="preserve">§ 1406: </w:t>
      </w:r>
      <w:r>
        <w:t xml:space="preserve">Venue is WRONG → court can transfer or dismiss</w:t>
      </w:r>
    </w:p>
    <w:p>
      <w:pPr>
        <w:pStyle w:val="ListParagraph"/>
        <w:numPr>
          <w:ilvl w:val="0"/>
          <w:numId w:val="21"/>
        </w:numPr>
        <w:spacing w:after="60"/>
      </w:pPr>
      <w:r>
        <w:rPr>
          <w:b/>
          <w:bCs/>
        </w:rPr>
        <w:t xml:space="preserve">§ 1404: </w:t>
      </w:r>
      <w:r>
        <w:t xml:space="preserve">Venue is right but INCONVENIENT → transfer for convenience</w:t>
      </w:r>
    </w:p>
    <w:p>
      <w:pPr>
        <w:spacing w:after="160"/>
      </w:pPr>
    </w:p>
    <w:p>
      <w:pPr>
        <w:spacing w:after="100"/>
      </w:pPr>
      <w:r>
        <w:rPr>
          <w:b/>
          <w:bCs/>
        </w:rPr>
        <w:t xml:space="preserve">Waivable: </w:t>
      </w:r>
      <w:r>
        <w:t xml:space="preserve">Must raise in first responsive pleading or it’s gone.</w:t>
      </w:r>
    </w:p>
    <w:p>
      <w:pPr>
        <w:pBdr>
          <w:bottom w:val="single" w:color="2E4057" w:sz="3" w:space="1"/>
        </w:pBdr>
        <w:spacing w:before="240" w:after="240"/>
      </w:pPr>
    </w:p>
    <w:p>
      <w:pPr>
        <w:pStyle w:val="Heading1"/>
        <w:spacing w:before="360" w:after="120"/>
      </w:pPr>
      <w:r>
        <w:rPr>
          <w:b/>
          <w:bCs/>
        </w:rPr>
        <w:t xml:space="preserve">PART 7: REMOVAL — DEFENDANT’S ESCAPE HATCH</w:t>
      </w:r>
    </w:p>
    <w:p>
      <w:pPr>
        <w:spacing w:after="160"/>
      </w:pPr>
    </w:p>
    <w:p>
      <w:pPr>
        <w:spacing w:after="100"/>
      </w:pPr>
      <w:r>
        <w:rPr>
          <w:b/>
          <w:bCs/>
        </w:rPr>
        <w:t xml:space="preserve">What is it? </w:t>
      </w:r>
      <w:r>
        <w:t xml:space="preserve">Defendant takes a case filed in state court and moves it to federal court.</w:t>
      </w:r>
    </w:p>
    <w:p>
      <w:pPr>
        <w:spacing w:after="160"/>
      </w:pPr>
    </w:p>
    <w:p>
      <w:pPr>
        <w:pStyle w:val="Heading2"/>
        <w:spacing w:before="260" w:after="100"/>
      </w:pPr>
      <w:r>
        <w:rPr>
          <w:b/>
          <w:bCs/>
        </w:rPr>
        <w:t xml:space="preserve">The 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Question</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Answer</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Who removes?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DEFENDANT only (never plaintiff)</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When?</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Within 30 days of service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Automatic?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YES — no pre-approval needed</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All Ds must agree?</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YES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Forum D can remove?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Only if there’s a federal question; NOT if diversity-only</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Hard deadline?</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1 year for diversity-only removal</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Response to improper removal?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Plaintiff files motion to REMAND (don’t say “removal doesn’t work”)</w:t>
            </w:r>
          </w:p>
        </w:tc>
      </w:tr>
    </w:tbl>
    <w:p>
      <w:pPr>
        <w:spacing w:after="160"/>
      </w:pPr>
    </w:p>
    <w:p>
      <w:pPr>
        <w:pBdr>
          <w:left w:val="single" w:color="CC3333" w:sz="6" w:space="8"/>
        </w:pBdr>
        <w:spacing w:before="120" w:after="120"/>
        <w:ind w:left="360"/>
      </w:pPr>
      <w:r>
        <w:rPr>
          <w:sz w:val="22"/>
          <w:szCs w:val="22"/>
        </w:rPr>
        <w:t xml:space="preserve">⚠️ </w:t>
      </w:r>
      <w:r>
        <w:rPr>
          <w:b/>
          <w:bCs/>
          <w:color w:val="CC3333"/>
          <w:sz w:val="21"/>
          <w:szCs w:val="21"/>
        </w:rPr>
        <w:t xml:space="preserve">Don’t say “D can’t remove.” They always CAN — removal is automatic. If it’s improper, plaintiff has to seek REMAND.</w:t>
      </w:r>
    </w:p>
    <w:p>
      <w:pPr>
        <w:spacing w:after="160"/>
      </w:pPr>
    </w:p>
    <w:p>
      <w:pPr>
        <w:pStyle w:val="Heading3"/>
        <w:spacing w:before="200" w:after="80"/>
      </w:pPr>
      <w:r>
        <w:rPr>
          <w:b/>
          <w:bCs/>
        </w:rPr>
        <w:t xml:space="preserve">Grounds for Remand</w:t>
      </w:r>
    </w:p>
    <w:p>
      <w:pPr>
        <w:spacing w:after="100"/>
      </w:pPr>
      <w:r>
        <w:rPr>
          <w:b/>
          <w:bCs/>
        </w:rPr>
        <w:t xml:space="preserve">Waivable (must seek within 30 days): </w:t>
      </w:r>
      <w:r>
        <w:t xml:space="preserve">Late notice, not all Ds agreed, forum defendant rule</w:t>
      </w:r>
    </w:p>
    <w:p>
      <w:pPr>
        <w:spacing w:after="100"/>
      </w:pPr>
      <w:r>
        <w:rPr>
          <w:b/>
          <w:bCs/>
        </w:rPr>
        <w:t xml:space="preserve">Non-waivable (anytime): </w:t>
      </w:r>
      <w:r>
        <w:t xml:space="preserve">No SMJ — federal court has no subject matter jurisdiction</w:t>
      </w:r>
    </w:p>
    <w:p>
      <w:pPr>
        <w:spacing w:after="160"/>
      </w:pPr>
    </w:p>
    <w:p>
      <w:pPr>
        <w:pBdr>
          <w:left w:val="single" w:color="CC3333" w:sz="6" w:space="8"/>
        </w:pBdr>
        <w:spacing w:before="120" w:after="120"/>
        <w:ind w:left="360"/>
      </w:pPr>
      <w:r>
        <w:rPr>
          <w:sz w:val="22"/>
          <w:szCs w:val="22"/>
        </w:rPr>
        <w:t xml:space="preserve">⚠️ </w:t>
      </w:r>
      <w:r>
        <w:rPr>
          <w:b/>
          <w:bCs/>
          <w:color w:val="CC3333"/>
          <w:sz w:val="21"/>
          <w:szCs w:val="21"/>
        </w:rPr>
        <w:t xml:space="preserve">TRAP: Forum defendant + federal question. If there’s ALSO a federal question, D can ALWAYS remove even if they’re a citizen of the forum state. Forum defendant rule only blocks when diversity is the ONLY basis.</w:t>
      </w:r>
    </w:p>
    <w:p>
      <w:pPr>
        <w:pBdr>
          <w:bottom w:val="single" w:color="2E4057" w:sz="3" w:space="1"/>
        </w:pBdr>
        <w:spacing w:before="240" w:after="240"/>
      </w:pPr>
    </w:p>
    <w:p>
      <w:pPr>
        <w:pStyle w:val="Heading1"/>
        <w:spacing w:before="360" w:after="120"/>
      </w:pPr>
      <w:r>
        <w:rPr>
          <w:b/>
          <w:bCs/>
        </w:rPr>
        <w:t xml:space="preserve">PART 8: SERVICE OF PROCESS (Rule 4) — GIVING DEFENDANT NOTICE</w:t>
      </w:r>
    </w:p>
    <w:p>
      <w:pPr>
        <w:spacing w:after="160"/>
      </w:pPr>
    </w:p>
    <w:p>
      <w:pPr>
        <w:pStyle w:val="Heading2"/>
        <w:spacing w:before="260" w:after="100"/>
      </w:pPr>
      <w:r>
        <w:rPr>
          <w:b/>
          <w:bCs/>
        </w:rPr>
        <w:t xml:space="preserve">Methods</w:t>
      </w:r>
    </w:p>
    <w:p>
      <w:pPr>
        <w:pStyle w:val="ListParagraph"/>
        <w:numPr>
          <w:ilvl w:val="0"/>
          <w:numId w:val="22"/>
        </w:numPr>
        <w:spacing w:after="60"/>
      </w:pPr>
      <w:r>
        <w:t xml:space="preserve">Federal methods: personal delivery, leaving at dwelling/abode, authorized agent</w:t>
      </w:r>
    </w:p>
    <w:p>
      <w:pPr>
        <w:pStyle w:val="ListParagraph"/>
        <w:numPr>
          <w:ilvl w:val="0"/>
          <w:numId w:val="22"/>
        </w:numPr>
        <w:spacing w:after="60"/>
      </w:pPr>
      <w:r>
        <w:t xml:space="preserve">State methods: anything the forum state allows</w:t>
      </w:r>
    </w:p>
    <w:p>
      <w:pPr>
        <w:spacing w:after="160"/>
      </w:pPr>
    </w:p>
    <w:p>
      <w:pPr>
        <w:pStyle w:val="Heading2"/>
        <w:spacing w:before="260" w:after="100"/>
      </w:pPr>
      <w:r>
        <w:rPr>
          <w:b/>
          <w:bCs/>
        </w:rPr>
        <w:t xml:space="preserve">Waiver of Service (Rule 4(d)) ⭐ — Used in Almost Every Case</w:t>
      </w:r>
    </w:p>
    <w:p>
      <w:pPr>
        <w:pStyle w:val="ListParagraph"/>
        <w:numPr>
          <w:ilvl w:val="0"/>
          <w:numId w:val="23"/>
        </w:numPr>
        <w:spacing w:after="60"/>
      </w:pPr>
      <w:r>
        <w:rPr>
          <w:b w:val="false"/>
          <w:bCs w:val="false"/>
        </w:rPr>
        <w:t xml:space="preserve">Mail a waiver form to defendant</w:t>
      </w:r>
    </w:p>
    <w:p>
      <w:pPr>
        <w:pStyle w:val="ListParagraph"/>
        <w:numPr>
          <w:ilvl w:val="0"/>
          <w:numId w:val="23"/>
        </w:numPr>
        <w:spacing w:after="60"/>
      </w:pPr>
      <w:r>
        <w:rPr>
          <w:b w:val="false"/>
          <w:bCs w:val="false"/>
        </w:rPr>
        <w:t xml:space="preserve">If D waives: gets 60 days to respond (instead of 21)</w:t>
      </w:r>
    </w:p>
    <w:p>
      <w:pPr>
        <w:pStyle w:val="ListParagraph"/>
        <w:numPr>
          <w:ilvl w:val="0"/>
          <w:numId w:val="23"/>
        </w:numPr>
        <w:spacing w:after="60"/>
      </w:pPr>
      <w:r>
        <w:rPr>
          <w:b w:val="false"/>
          <w:bCs w:val="false"/>
        </w:rPr>
        <w:t xml:space="preserve">If D refuses without good cause: D pays the service costs</w:t>
      </w:r>
    </w:p>
    <w:p>
      <w:pPr>
        <w:pBdr>
          <w:left w:val="single" w:color="E8A317" w:sz="6" w:space="8"/>
        </w:pBdr>
        <w:spacing w:before="120" w:after="120"/>
        <w:ind w:left="360"/>
      </w:pPr>
      <w:r>
        <w:rPr>
          <w:sz w:val="22"/>
          <w:szCs w:val="22"/>
        </w:rPr>
        <w:t xml:space="preserve">💡 </w:t>
      </w:r>
      <w:r>
        <w:rPr>
          <w:i/>
          <w:iCs/>
          <w:color w:val="555555"/>
          <w:sz w:val="21"/>
          <w:szCs w:val="21"/>
        </w:rPr>
        <w:t xml:space="preserve">This is a win-win that’s used in virtually every federal case.</w:t>
      </w:r>
    </w:p>
    <w:p>
      <w:pPr>
        <w:spacing w:after="160"/>
      </w:pPr>
    </w:p>
    <w:p>
      <w:pPr>
        <w:pStyle w:val="Heading2"/>
        <w:spacing w:before="260" w:after="100"/>
      </w:pPr>
      <w:r>
        <w:rPr>
          <w:b/>
          <w:bCs/>
        </w:rPr>
        <w:t xml:space="preserve">Due Process Limits on Service</w:t>
      </w:r>
    </w:p>
    <w:p>
      <w:pPr>
        <w:spacing w:after="100"/>
      </w:pPr>
      <w:r>
        <w:rPr>
          <w:b/>
          <w:bCs/>
        </w:rPr>
        <w:t xml:space="preserve">Mullane standard: </w:t>
      </w:r>
      <w:r>
        <w:t xml:space="preserve">Service must be “reasonably calculated” to provide actual notice.</w:t>
      </w:r>
    </w:p>
    <w:p>
      <w:pPr>
        <w:pStyle w:val="ListParagraph"/>
        <w:numPr>
          <w:ilvl w:val="0"/>
          <w:numId w:val="24"/>
        </w:numPr>
        <w:spacing w:after="60"/>
      </w:pPr>
      <w:r>
        <w:rPr>
          <w:b/>
          <w:bCs/>
        </w:rPr>
        <w:t xml:space="preserve">Service by publication: </w:t>
      </w:r>
      <w:r>
        <w:t xml:space="preserve">ONLY when D’s whereabouts are unknown OR personal service is impracticable</w:t>
      </w:r>
    </w:p>
    <w:p>
      <w:pPr>
        <w:pStyle w:val="ListParagraph"/>
        <w:numPr>
          <w:ilvl w:val="0"/>
          <w:numId w:val="24"/>
        </w:numPr>
        <w:spacing w:after="60"/>
      </w:pPr>
      <w:r>
        <w:rPr>
          <w:b w:val="false"/>
          <w:bCs w:val="false"/>
        </w:rPr>
        <w:t xml:space="preserve">Can’t use just because it’s cheaper!</w:t>
      </w:r>
    </w:p>
    <w:p>
      <w:pPr>
        <w:pBdr>
          <w:bottom w:val="single" w:color="2E4057" w:sz="3" w:space="1"/>
        </w:pBdr>
        <w:spacing w:before="240" w:after="240"/>
      </w:pPr>
    </w:p>
    <w:p>
      <w:pPr>
        <w:pStyle w:val="Heading1"/>
        <w:spacing w:before="360" w:after="120"/>
      </w:pPr>
      <w:r>
        <w:rPr>
          <w:b/>
          <w:bCs/>
        </w:rPr>
        <w:t xml:space="preserve">PART 9: PLEADINGS — TELLING THE COURT WHAT THE FIGHT IS ABOUT</w:t>
      </w:r>
    </w:p>
    <w:p>
      <w:pPr>
        <w:spacing w:after="160"/>
      </w:pPr>
    </w:p>
    <w:p>
      <w:pPr>
        <w:pStyle w:val="Heading2"/>
        <w:spacing w:before="260" w:after="100"/>
      </w:pPr>
      <w:r>
        <w:rPr>
          <w:b/>
          <w:bCs/>
        </w:rPr>
        <w:t xml:space="preserve">Three Stages of Litigation ⭐ (Memorize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Stage</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How Facts Are Treated</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Question Asked</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Who Decides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Pleading/MTD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Assumed TRUE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Is this legally sufficient?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Judge</w:t>
            </w:r>
          </w:p>
        </w:tc>
      </w:tr>
      <w:tr>
        <w:tc>
          <w:tcPr>
            <w:tcW w:type="dxa" w:w="234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Summary Judgment</w:t>
            </w:r>
          </w:p>
        </w:tc>
        <w:tc>
          <w:tcPr>
            <w:tcW w:type="dxa" w:w="234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Need actual EVIDENCE</w:t>
            </w:r>
          </w:p>
        </w:tc>
        <w:tc>
          <w:tcPr>
            <w:tcW w:type="dxa" w:w="234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Is there a genuine dispute?</w:t>
            </w:r>
          </w:p>
        </w:tc>
        <w:tc>
          <w:tcPr>
            <w:tcW w:type="dxa" w:w="234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Judge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3. Trial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Must be PROVEN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What actually happened?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Jury (or Judge)</w:t>
            </w:r>
          </w:p>
        </w:tc>
      </w:tr>
    </w:tbl>
    <w:p>
      <w:pPr>
        <w:spacing w:after="160"/>
      </w:pPr>
    </w:p>
    <w:p>
      <w:pPr>
        <w:pStyle w:val="Heading2"/>
        <w:spacing w:before="260" w:after="100"/>
      </w:pPr>
      <w:r>
        <w:rPr>
          <w:b/>
          <w:bCs/>
        </w:rPr>
        <w:t xml:space="preserve">Rule 8: Notice Pleading</w:t>
      </w:r>
    </w:p>
    <w:p>
      <w:pPr>
        <w:spacing w:after="100"/>
      </w:pPr>
      <w:r>
        <w:rPr>
          <w:b/>
          <w:bCs/>
        </w:rPr>
        <w:t xml:space="preserve">Standard: </w:t>
      </w:r>
      <w:r>
        <w:t xml:space="preserve">"Short and plain statement" showing you’re entitled to relief.</w:t>
      </w:r>
    </w:p>
    <w:p>
      <w:pPr>
        <w:spacing w:after="100"/>
      </w:pPr>
      <w:r>
        <w:t xml:space="preserve">Very low bar — just enough to give the other side notice of what you’re claiming. In practice, lawyers include way more detail.</w:t>
      </w:r>
    </w:p>
    <w:p>
      <w:pPr>
        <w:spacing w:after="160"/>
      </w:pPr>
    </w:p>
    <w:p>
      <w:pPr>
        <w:pStyle w:val="Heading2"/>
        <w:spacing w:before="260" w:after="100"/>
      </w:pPr>
      <w:r>
        <w:rPr>
          <w:b/>
          <w:bCs/>
        </w:rPr>
        <w:t xml:space="preserve">Rule 9: Heightened Pleading</w:t>
      </w:r>
    </w:p>
    <w:p>
      <w:pPr>
        <w:spacing w:after="100"/>
      </w:pPr>
      <w:r>
        <w:t xml:space="preserve">Some claims need MORE detail (particularity):</w:t>
      </w:r>
    </w:p>
    <w:p>
      <w:pPr>
        <w:pStyle w:val="ListParagraph"/>
        <w:numPr>
          <w:ilvl w:val="0"/>
          <w:numId w:val="25"/>
        </w:numPr>
        <w:spacing w:after="60"/>
      </w:pPr>
      <w:r>
        <w:rPr>
          <w:b/>
          <w:bCs/>
        </w:rPr>
        <w:t xml:space="preserve">Fraud: </w:t>
      </w:r>
      <w:r>
        <w:t xml:space="preserve">must plead who, what, when, where, why</w:t>
      </w:r>
    </w:p>
    <w:p>
      <w:pPr>
        <w:pStyle w:val="ListParagraph"/>
        <w:numPr>
          <w:ilvl w:val="0"/>
          <w:numId w:val="25"/>
        </w:numPr>
        <w:spacing w:after="60"/>
      </w:pPr>
      <w:r>
        <w:rPr>
          <w:b w:val="false"/>
          <w:bCs w:val="false"/>
        </w:rPr>
        <w:t xml:space="preserve">Mistake</w:t>
      </w:r>
    </w:p>
    <w:p>
      <w:pPr>
        <w:pStyle w:val="ListParagraph"/>
        <w:numPr>
          <w:ilvl w:val="0"/>
          <w:numId w:val="25"/>
        </w:numPr>
        <w:spacing w:after="60"/>
      </w:pPr>
      <w:r>
        <w:rPr>
          <w:b w:val="false"/>
          <w:bCs w:val="false"/>
        </w:rPr>
        <w:t xml:space="preserve">Special damages (itemize specific losses)</w:t>
      </w:r>
    </w:p>
    <w:p>
      <w:pPr>
        <w:spacing w:after="160"/>
      </w:pPr>
    </w:p>
    <w:p>
      <w:pPr>
        <w:pStyle w:val="Heading2"/>
        <w:spacing w:before="260" w:after="100"/>
      </w:pPr>
      <w:r>
        <w:rPr>
          <w:b/>
          <w:bCs/>
        </w:rPr>
        <w:t xml:space="preserve">Plausibility Pleading (Twombly/Iqbal) — The Middle Ground</w:t>
      </w:r>
    </w:p>
    <w:p>
      <w:pPr>
        <w:spacing w:after="100"/>
      </w:pPr>
      <w:r>
        <w:t xml:space="preserve">Falls between Rule 8 and Rule 9. You can’t just copy the statute and say “defendant violated it.” You must provide enough facts to make the claim PLAUSIBLE (not just conceivable).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Case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Result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Twombly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FAILED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No facts showing HOW the conspiracy happened</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Swanson</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SURVIVED</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Told a “story that holds together”</w:t>
            </w:r>
          </w:p>
        </w:tc>
      </w:tr>
    </w:tbl>
    <w:p>
      <w:pPr>
        <w:spacing w:after="160"/>
      </w:pPr>
    </w:p>
    <w:p>
      <w:pPr>
        <w:pStyle w:val="Heading2"/>
        <w:spacing w:before="260" w:after="100"/>
      </w:pPr>
      <w:r>
        <w:rPr>
          <w:b/>
          <w:bCs/>
        </w:rPr>
        <w:t xml:space="preserve">Anatomy of a Complaint</w:t>
      </w:r>
    </w:p>
    <w:p>
      <w:pPr>
        <w:pStyle w:val="ListParagraph"/>
        <w:numPr>
          <w:ilvl w:val="0"/>
          <w:numId w:val="26"/>
        </w:numPr>
        <w:spacing w:after="60"/>
      </w:pPr>
      <w:r>
        <w:t xml:space="preserve">Caption</w:t>
      </w:r>
    </w:p>
    <w:p>
      <w:pPr>
        <w:pStyle w:val="ListParagraph"/>
        <w:numPr>
          <w:ilvl w:val="0"/>
          <w:numId w:val="26"/>
        </w:numPr>
        <w:spacing w:after="60"/>
      </w:pPr>
      <w:r>
        <w:t xml:space="preserve">Introduction (optional)</w:t>
      </w:r>
    </w:p>
    <w:p>
      <w:pPr>
        <w:pStyle w:val="ListParagraph"/>
        <w:numPr>
          <w:ilvl w:val="0"/>
          <w:numId w:val="26"/>
        </w:numPr>
        <w:spacing w:after="60"/>
      </w:pPr>
      <w:r>
        <w:t xml:space="preserve">Jurisdiction &amp; venue allegations</w:t>
      </w:r>
    </w:p>
    <w:p>
      <w:pPr>
        <w:pStyle w:val="ListParagraph"/>
        <w:numPr>
          <w:ilvl w:val="0"/>
          <w:numId w:val="26"/>
        </w:numPr>
        <w:spacing w:after="60"/>
      </w:pPr>
      <w:r>
        <w:t xml:space="preserve">Factual allegations (numbered paragraphs)</w:t>
      </w:r>
    </w:p>
    <w:p>
      <w:pPr>
        <w:pStyle w:val="ListParagraph"/>
        <w:numPr>
          <w:ilvl w:val="0"/>
          <w:numId w:val="26"/>
        </w:numPr>
        <w:spacing w:after="60"/>
      </w:pPr>
      <w:r>
        <w:t xml:space="preserve">Counts (elements + facts for each claim)</w:t>
      </w:r>
    </w:p>
    <w:p>
      <w:pPr>
        <w:pStyle w:val="ListParagraph"/>
        <w:numPr>
          <w:ilvl w:val="0"/>
          <w:numId w:val="26"/>
        </w:numPr>
        <w:spacing w:after="60"/>
      </w:pPr>
      <w:r>
        <w:t xml:space="preserve">Prayer for relief</w:t>
      </w:r>
    </w:p>
    <w:p>
      <w:pPr>
        <w:pStyle w:val="ListParagraph"/>
        <w:numPr>
          <w:ilvl w:val="0"/>
          <w:numId w:val="26"/>
        </w:numPr>
        <w:spacing w:after="60"/>
      </w:pPr>
      <w:r>
        <w:t xml:space="preserve">Jury demand (if wanted)</w:t>
      </w:r>
    </w:p>
    <w:p>
      <w:pPr>
        <w:spacing w:after="100"/>
      </w:pPr>
      <w:r>
        <w:rPr>
          <w:b/>
          <w:bCs/>
        </w:rPr>
        <w:t xml:space="preserve">Strategy: </w:t>
      </w:r>
      <w:r>
        <w:t xml:space="preserve">Multiple counts from the same set of facts!</w:t>
      </w:r>
    </w:p>
    <w:p>
      <w:pPr>
        <w:pBdr>
          <w:bottom w:val="single" w:color="2E4057" w:sz="3" w:space="1"/>
        </w:pBdr>
        <w:spacing w:before="240" w:after="240"/>
      </w:pPr>
    </w:p>
    <w:p>
      <w:pPr>
        <w:pStyle w:val="Heading1"/>
        <w:spacing w:before="360" w:after="120"/>
      </w:pPr>
      <w:r>
        <w:rPr>
          <w:b/>
          <w:bCs/>
        </w:rPr>
        <w:t xml:space="preserve">PART 10: DEFAULT JUDGMENTS — WHAT HAPPENS WHEN D DOES NOTHING</w:t>
      </w:r>
    </w:p>
    <w:p>
      <w:pPr>
        <w:spacing w:after="160"/>
      </w:pPr>
    </w:p>
    <w:p>
      <w:pPr>
        <w:spacing w:after="80"/>
      </w:pPr>
      <w:r>
        <w:rPr>
          <w:sz w:val="22"/>
          <w:szCs w:val="22"/>
        </w:rPr>
        <w:t xml:space="preserve">⭐ </w:t>
      </w:r>
      <w:r>
        <w:rPr>
          <w:b/>
          <w:bCs/>
        </w:rPr>
        <w:t xml:space="preserve">TWO separate steps — don’t confuse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Step</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Happens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How to Undo</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Entry of Default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Clerk notes that D failed to respond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"Good cause" (pretty easy)</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 Default JUDGMENT</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Court enters actual judgment against D</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Rule 60(b) (much harder). Mistake = 1 yr. Void (no SMJ/PJ) = no time limit</w:t>
            </w:r>
          </w:p>
        </w:tc>
      </w:tr>
    </w:tbl>
    <w:p>
      <w:pPr>
        <w:spacing w:after="160"/>
      </w:pPr>
    </w:p>
    <w:p>
      <w:pPr>
        <w:pStyle w:val="ListParagraph"/>
        <w:numPr>
          <w:ilvl w:val="0"/>
          <w:numId w:val="27"/>
        </w:numPr>
        <w:spacing w:after="60"/>
      </w:pPr>
      <w:r>
        <w:rPr>
          <w:b/>
          <w:bCs/>
        </w:rPr>
        <w:t xml:space="preserve">Clerk enters judgment if: </w:t>
      </w:r>
      <w:r>
        <w:t xml:space="preserve">competent adult + liquidated (fixed) damages</w:t>
      </w:r>
    </w:p>
    <w:p>
      <w:pPr>
        <w:pStyle w:val="ListParagraph"/>
        <w:numPr>
          <w:ilvl w:val="0"/>
          <w:numId w:val="27"/>
        </w:numPr>
        <w:spacing w:after="60"/>
      </w:pPr>
      <w:r>
        <w:rPr>
          <w:b/>
          <w:bCs/>
        </w:rPr>
        <w:t xml:space="preserve">Court must handle if: </w:t>
      </w:r>
      <w:r>
        <w:t xml:space="preserve">non-liquidated damages, minor/incompetent, or D appeared</w:t>
      </w:r>
    </w:p>
    <w:p>
      <w:pPr>
        <w:pStyle w:val="ListParagraph"/>
        <w:numPr>
          <w:ilvl w:val="0"/>
          <w:numId w:val="27"/>
        </w:numPr>
        <w:spacing w:after="60"/>
      </w:pPr>
      <w:r>
        <w:rPr>
          <w:b w:val="false"/>
          <w:bCs w:val="false"/>
        </w:rPr>
        <w:t xml:space="preserve">Damages capped at whatever plaintiff asked for in the prayer</w:t>
      </w:r>
    </w:p>
    <w:p>
      <w:pPr>
        <w:pBdr>
          <w:bottom w:val="single" w:color="2E4057" w:sz="3" w:space="1"/>
        </w:pBdr>
        <w:spacing w:before="240" w:after="240"/>
      </w:pPr>
    </w:p>
    <w:p>
      <w:pPr>
        <w:pStyle w:val="Heading1"/>
        <w:spacing w:before="360" w:after="120"/>
      </w:pPr>
      <w:r>
        <w:rPr>
          <w:b/>
          <w:bCs/>
        </w:rPr>
        <w:t xml:space="preserve">PART 11: MOTIONS TO DISMISS (Rule 12) — TESTING THE COMPLAINT</w:t>
      </w:r>
    </w:p>
    <w:p>
      <w:pPr>
        <w:spacing w:after="160"/>
      </w:pPr>
    </w:p>
    <w:p>
      <w:pPr>
        <w:spacing w:after="80"/>
      </w:pPr>
      <w:r>
        <w:rPr>
          <w:sz w:val="22"/>
          <w:szCs w:val="22"/>
        </w:rPr>
        <w:t xml:space="preserve">⭐ </w:t>
      </w:r>
      <w:r>
        <w:rPr>
          <w:b/>
          <w:bCs/>
        </w:rPr>
        <w:t xml:space="preserve">Key: MTD assumes all facts in the complaint are TRUE. It only asks: “Even if everything P says happened, does the law give them a remedy?”</w:t>
      </w:r>
    </w:p>
    <w:p>
      <w:pPr>
        <w:spacing w:after="160"/>
      </w:pPr>
    </w:p>
    <w:p>
      <w:pPr>
        <w:pStyle w:val="Heading2"/>
        <w:spacing w:before="260" w:after="100"/>
      </w:pPr>
      <w:r>
        <w:rPr>
          <w:b/>
          <w:bCs/>
        </w:rPr>
        <w:t xml:space="preserve">Rule 12(b) Grounds</w:t>
      </w:r>
    </w:p>
    <w:p>
      <w:pPr>
        <w:pStyle w:val="Heading3"/>
        <w:spacing w:before="200" w:after="80"/>
      </w:pPr>
      <w:r>
        <w:rPr>
          <w:b/>
          <w:bCs/>
        </w:rPr>
        <w:t xml:space="preserve">Waivable — Use It or Lose It (must include in first responsive pleading):</w:t>
      </w:r>
    </w:p>
    <w:p>
      <w:pPr>
        <w:pStyle w:val="ListParagraph"/>
        <w:numPr>
          <w:ilvl w:val="0"/>
          <w:numId w:val="28"/>
        </w:numPr>
        <w:spacing w:after="60"/>
      </w:pPr>
      <w:r>
        <w:rPr>
          <w:b w:val="false"/>
          <w:bCs w:val="false"/>
        </w:rPr>
        <w:t xml:space="preserve">(2) Personal jurisdiction</w:t>
      </w:r>
    </w:p>
    <w:p>
      <w:pPr>
        <w:pStyle w:val="ListParagraph"/>
        <w:numPr>
          <w:ilvl w:val="0"/>
          <w:numId w:val="28"/>
        </w:numPr>
        <w:spacing w:after="60"/>
      </w:pPr>
      <w:r>
        <w:rPr>
          <w:b w:val="false"/>
          <w:bCs w:val="false"/>
        </w:rPr>
        <w:t xml:space="preserve">(3) Venue</w:t>
      </w:r>
    </w:p>
    <w:p>
      <w:pPr>
        <w:pStyle w:val="ListParagraph"/>
        <w:numPr>
          <w:ilvl w:val="0"/>
          <w:numId w:val="28"/>
        </w:numPr>
        <w:spacing w:after="60"/>
      </w:pPr>
      <w:r>
        <w:rPr>
          <w:b w:val="false"/>
          <w:bCs w:val="false"/>
        </w:rPr>
        <w:t xml:space="preserve">(4) Insufficient process (wrong documents)</w:t>
      </w:r>
    </w:p>
    <w:p>
      <w:pPr>
        <w:pStyle w:val="ListParagraph"/>
        <w:numPr>
          <w:ilvl w:val="0"/>
          <w:numId w:val="28"/>
        </w:numPr>
        <w:spacing w:after="60"/>
      </w:pPr>
      <w:r>
        <w:rPr>
          <w:b w:val="false"/>
          <w:bCs w:val="false"/>
        </w:rPr>
        <w:t xml:space="preserve">(5) Insufficient service (wrong method)</w:t>
      </w:r>
    </w:p>
    <w:p>
      <w:pPr>
        <w:spacing w:after="160"/>
      </w:pPr>
    </w:p>
    <w:p>
      <w:pPr>
        <w:pStyle w:val="Heading3"/>
        <w:spacing w:before="200" w:after="80"/>
      </w:pPr>
      <w:r>
        <w:rPr>
          <w:b/>
          <w:bCs/>
        </w:rPr>
        <w:t xml:space="preserve">Non-Waivable / Delayed Waiver:</w:t>
      </w:r>
    </w:p>
    <w:p>
      <w:pPr>
        <w:pStyle w:val="ListParagraph"/>
        <w:numPr>
          <w:ilvl w:val="0"/>
          <w:numId w:val="29"/>
        </w:numPr>
        <w:spacing w:after="60"/>
      </w:pPr>
      <w:r>
        <w:rPr>
          <w:b/>
          <w:bCs/>
        </w:rPr>
        <w:t xml:space="preserve">(1) SMJ — NEVER waived (the unicorn!)</w:t>
      </w:r>
    </w:p>
    <w:p>
      <w:pPr>
        <w:pStyle w:val="ListParagraph"/>
        <w:numPr>
          <w:ilvl w:val="0"/>
          <w:numId w:val="29"/>
        </w:numPr>
        <w:spacing w:after="60"/>
      </w:pPr>
      <w:r>
        <w:rPr>
          <w:b w:val="false"/>
          <w:bCs w:val="false"/>
        </w:rPr>
        <w:t xml:space="preserve">(6) Failure to state a claim — waived after trial</w:t>
      </w:r>
    </w:p>
    <w:p>
      <w:pPr>
        <w:pStyle w:val="ListParagraph"/>
        <w:numPr>
          <w:ilvl w:val="0"/>
          <w:numId w:val="29"/>
        </w:numPr>
        <w:spacing w:after="60"/>
      </w:pPr>
      <w:r>
        <w:rPr>
          <w:b w:val="false"/>
          <w:bCs w:val="false"/>
        </w:rPr>
        <w:t xml:space="preserve">(7) Failure to join a required party — waived after trial</w:t>
      </w:r>
    </w:p>
    <w:p>
      <w:pPr>
        <w:spacing w:after="160"/>
      </w:pPr>
    </w:p>
    <w:p>
      <w:pPr>
        <w:pStyle w:val="Heading3"/>
        <w:spacing w:before="200" w:after="80"/>
      </w:pPr>
      <w:r>
        <w:rPr>
          <w:b/>
          <w:bCs/>
        </w:rPr>
        <w:t xml:space="preserve">“One Bite at Apple” Rule ⭐</w:t>
      </w:r>
    </w:p>
    <w:p>
      <w:pPr>
        <w:spacing w:after="100"/>
      </w:pPr>
      <w:r>
        <w:rPr>
          <w:b/>
          <w:bCs/>
        </w:rPr>
        <w:t xml:space="preserve">If you file ANY Rule 12 motion, you must include ALL your waivable defenses in that motion. </w:t>
      </w:r>
      <w:r>
        <w:t xml:space="preserve">You don’t get a second chance.</w:t>
      </w:r>
    </w:p>
    <w:p>
      <w:pPr>
        <w:spacing w:after="160"/>
      </w:pPr>
    </w:p>
    <w:p>
      <w:pPr>
        <w:pStyle w:val="Heading3"/>
        <w:spacing w:before="200" w:after="80"/>
      </w:pPr>
      <w:r>
        <w:rPr>
          <w:b/>
          <w:bCs/>
        </w:rPr>
        <w:t xml:space="preserve">Other Rule 12 Motions</w:t>
      </w:r>
    </w:p>
    <w:p>
      <w:pPr>
        <w:pStyle w:val="ListParagraph"/>
        <w:numPr>
          <w:ilvl w:val="0"/>
          <w:numId w:val="30"/>
        </w:numPr>
        <w:spacing w:after="60"/>
      </w:pPr>
      <w:r>
        <w:rPr>
          <w:b/>
          <w:bCs/>
        </w:rPr>
        <w:t xml:space="preserve">12(e): </w:t>
      </w:r>
      <w:r>
        <w:t xml:space="preserve">Motion for more definite statement (complaint is too vague)</w:t>
      </w:r>
    </w:p>
    <w:p>
      <w:pPr>
        <w:pStyle w:val="ListParagraph"/>
        <w:numPr>
          <w:ilvl w:val="0"/>
          <w:numId w:val="30"/>
        </w:numPr>
        <w:spacing w:after="60"/>
      </w:pPr>
      <w:r>
        <w:rPr>
          <w:b/>
          <w:bCs/>
        </w:rPr>
        <w:t xml:space="preserve">12(f): </w:t>
      </w:r>
      <w:r>
        <w:t xml:space="preserve">Motion to strike (improper material in pleading)</w:t>
      </w:r>
    </w:p>
    <w:p>
      <w:pPr>
        <w:pStyle w:val="ListParagraph"/>
        <w:numPr>
          <w:ilvl w:val="0"/>
          <w:numId w:val="30"/>
        </w:numPr>
        <w:spacing w:after="60"/>
      </w:pPr>
      <w:r>
        <w:rPr>
          <w:b/>
          <w:bCs/>
        </w:rPr>
        <w:t xml:space="preserve">12(c): </w:t>
      </w:r>
      <w:r>
        <w:t xml:space="preserve">Judgment on the pleadings (after answer is filed)</w:t>
      </w:r>
    </w:p>
    <w:p>
      <w:pPr>
        <w:pBdr>
          <w:bottom w:val="single" w:color="2E4057" w:sz="3" w:space="1"/>
        </w:pBdr>
        <w:spacing w:before="240" w:after="240"/>
      </w:pPr>
    </w:p>
    <w:p>
      <w:pPr>
        <w:pStyle w:val="Heading1"/>
        <w:spacing w:before="360" w:after="120"/>
      </w:pPr>
      <w:r>
        <w:rPr>
          <w:b/>
          <w:bCs/>
        </w:rPr>
        <w:t xml:space="preserve">PART 12: ANSWERS — DEFENDANT’S RESPONSE</w:t>
      </w:r>
    </w:p>
    <w:p>
      <w:pPr>
        <w:spacing w:after="160"/>
      </w:pPr>
    </w:p>
    <w:p>
      <w:pPr>
        <w:pStyle w:val="Heading2"/>
        <w:spacing w:before="260" w:after="100"/>
      </w:pPr>
      <w:r>
        <w:rPr>
          <w:b/>
          <w:bCs/>
        </w:rPr>
        <w:t xml:space="preserve">Part 1: Admissions &amp; Denials</w:t>
      </w:r>
    </w:p>
    <w:p>
      <w:pPr>
        <w:spacing w:after="100"/>
      </w:pPr>
      <w:r>
        <w:t xml:space="preserve">Must go through EACH allegation one by one:</w:t>
      </w:r>
    </w:p>
    <w:p>
      <w:pPr>
        <w:pStyle w:val="ListParagraph"/>
        <w:numPr>
          <w:ilvl w:val="0"/>
          <w:numId w:val="31"/>
        </w:numPr>
        <w:spacing w:after="60"/>
      </w:pPr>
      <w:r>
        <w:t xml:space="preserve">Admit</w:t>
      </w:r>
    </w:p>
    <w:p>
      <w:pPr>
        <w:pStyle w:val="ListParagraph"/>
        <w:numPr>
          <w:ilvl w:val="0"/>
          <w:numId w:val="31"/>
        </w:numPr>
        <w:spacing w:after="60"/>
      </w:pPr>
      <w:r>
        <w:t xml:space="preserve">Deny</w:t>
      </w:r>
    </w:p>
    <w:p>
      <w:pPr>
        <w:pStyle w:val="ListParagraph"/>
        <w:numPr>
          <w:ilvl w:val="0"/>
          <w:numId w:val="31"/>
        </w:numPr>
        <w:spacing w:after="60"/>
      </w:pPr>
      <w:r>
        <w:t xml:space="preserve">Partial: “Admit [X]. Otherwise denied.”</w:t>
      </w:r>
    </w:p>
    <w:p>
      <w:pPr>
        <w:pStyle w:val="ListParagraph"/>
        <w:numPr>
          <w:ilvl w:val="0"/>
          <w:numId w:val="31"/>
        </w:numPr>
        <w:spacing w:after="60"/>
      </w:pPr>
      <w:r>
        <w:t xml:space="preserve">Insufficient information to admit or deny</w:t>
      </w:r>
    </w:p>
    <w:p>
      <w:pPr>
        <w:spacing w:after="160"/>
      </w:pPr>
    </w:p>
    <w:p>
      <w:pPr>
        <w:spacing w:after="80"/>
      </w:pPr>
      <w:r>
        <w:rPr>
          <w:sz w:val="22"/>
          <w:szCs w:val="22"/>
        </w:rPr>
        <w:t xml:space="preserve">⭐ </w:t>
      </w:r>
      <w:r>
        <w:rPr>
          <w:b/>
          <w:bCs/>
        </w:rPr>
        <w:t xml:space="preserve">CRITICAL: Anything you don’t deny = ADMITTED. Don’t skip allegations!</w:t>
      </w:r>
    </w:p>
    <w:p>
      <w:pPr>
        <w:spacing w:after="160"/>
      </w:pPr>
    </w:p>
    <w:p>
      <w:pPr>
        <w:pStyle w:val="Heading2"/>
        <w:spacing w:before="260" w:after="100"/>
      </w:pPr>
      <w:r>
        <w:rPr>
          <w:b/>
          <w:bCs/>
        </w:rPr>
        <w:t xml:space="preserve">Part 2: Affirmative Defenses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Type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It Means</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Example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Elemental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 can’t prove one of the required elements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 can’t show I was negligent"</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Affirmative</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Even if P proves everything, D still wins</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Statute of limitations, contributory negligence</w:t>
            </w:r>
          </w:p>
        </w:tc>
      </w:tr>
    </w:tbl>
    <w:p>
      <w:pPr>
        <w:spacing w:after="100"/>
      </w:pPr>
      <w:r>
        <w:t xml:space="preserve">Common ADs: statute of limitations, contributory negligence, unclean hands, accord and satisfaction.</w:t>
      </w:r>
    </w:p>
    <w:p>
      <w:pPr>
        <w:spacing w:after="100"/>
      </w:pPr>
      <w:r>
        <w:rPr>
          <w:b/>
          <w:bCs/>
        </w:rPr>
        <w:t xml:space="preserve">Rule: </w:t>
      </w:r>
      <w:r>
        <w:t xml:space="preserve">Only assert defenses with substantial basis (Rule 11!)</w:t>
      </w:r>
    </w:p>
    <w:p>
      <w:pPr>
        <w:spacing w:after="160"/>
      </w:pPr>
    </w:p>
    <w:p>
      <w:pPr>
        <w:pStyle w:val="Heading2"/>
        <w:spacing w:before="260" w:after="100"/>
      </w:pPr>
      <w:r>
        <w:rPr>
          <w:b/>
          <w:bCs/>
        </w:rPr>
        <w:t xml:space="preserve">Parts 3 &amp; 4: Counterclaims + Prayer &amp; Jury Demand</w:t>
      </w:r>
    </w:p>
    <w:p>
      <w:pPr>
        <w:spacing w:after="100"/>
      </w:pPr>
      <w:r>
        <w:t xml:space="preserve">Counterclaims = defendant’s claims against plaintiff. Always include your jury demand here if you want one.</w:t>
      </w:r>
    </w:p>
    <w:p>
      <w:pPr>
        <w:pBdr>
          <w:bottom w:val="single" w:color="2E4057" w:sz="3" w:space="1"/>
        </w:pBdr>
        <w:spacing w:before="240" w:after="240"/>
      </w:pPr>
    </w:p>
    <w:p>
      <w:pPr>
        <w:pStyle w:val="Heading1"/>
        <w:spacing w:before="360" w:after="120"/>
      </w:pPr>
      <w:r>
        <w:rPr>
          <w:b/>
          <w:bCs/>
        </w:rPr>
        <w:t xml:space="preserve">PART 13: RULE 11 SANCTIONS — DON’T LIE OR BE LAZY</w:t>
      </w:r>
    </w:p>
    <w:p>
      <w:pPr>
        <w:spacing w:after="160"/>
      </w:pPr>
    </w:p>
    <w:p>
      <w:pPr>
        <w:pStyle w:val="Heading2"/>
        <w:spacing w:before="260" w:after="100"/>
      </w:pPr>
      <w:r>
        <w:rPr>
          <w:b/>
          <w:bCs/>
        </w:rPr>
        <w:t xml:space="preserve">Two Ways to Violate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Type</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You Did Wrong</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Bad Faith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Knowingly false allegations OR improper purpose (harassment/delay) even if facts are true</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Reckless</w:t>
            </w:r>
          </w:p>
        </w:tc>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Failed to investigate facts OR failed to research law</w:t>
            </w:r>
          </w:p>
        </w:tc>
      </w:tr>
    </w:tbl>
    <w:p>
      <w:pPr>
        <w:spacing w:after="160"/>
      </w:pPr>
    </w:p>
    <w:p>
      <w:pPr>
        <w:pStyle w:val="Heading2"/>
        <w:spacing w:before="260" w:after="100"/>
      </w:pPr>
      <w:r>
        <w:rPr>
          <w:b/>
          <w:bCs/>
        </w:rPr>
        <w:t xml:space="preserve">Special Procedure ⭐ (Likely Tested!)</w:t>
      </w:r>
    </w:p>
    <w:p>
      <w:pPr>
        <w:spacing w:after="100"/>
      </w:pPr>
      <w:r>
        <w:t xml:space="preserve">This is DIFFERENT from every other motion:</w:t>
      </w:r>
    </w:p>
    <w:p>
      <w:pPr>
        <w:pStyle w:val="ListParagraph"/>
        <w:numPr>
          <w:ilvl w:val="0"/>
          <w:numId w:val="32"/>
        </w:numPr>
        <w:spacing w:after="60"/>
      </w:pPr>
      <w:r>
        <w:t xml:space="preserve">Serve the motion on opposing party</w:t>
      </w:r>
    </w:p>
    <w:p>
      <w:pPr>
        <w:pStyle w:val="ListParagraph"/>
        <w:numPr>
          <w:ilvl w:val="0"/>
          <w:numId w:val="32"/>
        </w:numPr>
        <w:spacing w:after="60"/>
      </w:pPr>
      <w:r>
        <w:t xml:space="preserve">Wait 21 days ("safe harbor" — give them a chance to fix it)</w:t>
      </w:r>
    </w:p>
    <w:p>
      <w:pPr>
        <w:pStyle w:val="ListParagraph"/>
        <w:numPr>
          <w:ilvl w:val="0"/>
          <w:numId w:val="32"/>
        </w:numPr>
        <w:spacing w:after="60"/>
      </w:pPr>
      <w:r>
        <w:t xml:space="preserve">THEN file with the court</w:t>
      </w:r>
    </w:p>
    <w:p>
      <w:pPr>
        <w:pStyle w:val="ListParagraph"/>
        <w:numPr>
          <w:ilvl w:val="0"/>
          <w:numId w:val="32"/>
        </w:numPr>
        <w:spacing w:after="60"/>
      </w:pPr>
      <w:r>
        <w:t xml:space="preserve">Must be a SEPARATE motion (can’t just tack it onto something else)</w:t>
      </w:r>
    </w:p>
    <w:p>
      <w:pPr>
        <w:pBdr>
          <w:left w:val="single" w:color="CC3333" w:sz="6" w:space="8"/>
        </w:pBdr>
        <w:spacing w:before="120" w:after="120"/>
        <w:ind w:left="360"/>
      </w:pPr>
      <w:r>
        <w:rPr>
          <w:sz w:val="22"/>
          <w:szCs w:val="22"/>
        </w:rPr>
        <w:t xml:space="preserve">⚠️ </w:t>
      </w:r>
      <w:r>
        <w:rPr>
          <w:b/>
          <w:bCs/>
          <w:color w:val="CC3333"/>
          <w:sz w:val="21"/>
          <w:szCs w:val="21"/>
        </w:rPr>
        <w:t xml:space="preserve">Don’t file Rule 11 like a normal motion! The 21-day safe harbor is unique and WILL be tested.</w:t>
      </w:r>
    </w:p>
    <w:p>
      <w:pPr>
        <w:pBdr>
          <w:bottom w:val="single" w:color="2E4057" w:sz="3" w:space="1"/>
        </w:pBdr>
        <w:spacing w:before="240" w:after="240"/>
      </w:pPr>
    </w:p>
    <w:p>
      <w:pPr>
        <w:pStyle w:val="Heading1"/>
        <w:spacing w:before="360" w:after="120"/>
      </w:pPr>
      <w:r>
        <w:rPr>
          <w:b/>
          <w:bCs/>
        </w:rPr>
        <w:t xml:space="preserve">PART 14: DEFENDANT’S RESPONSE OPTIONS (In Order)</w:t>
      </w:r>
    </w:p>
    <w:p>
      <w:pPr>
        <w:spacing w:after="160"/>
      </w:pPr>
    </w:p>
    <w:p>
      <w:pPr>
        <w:pStyle w:val="ListParagraph"/>
        <w:numPr>
          <w:ilvl w:val="0"/>
          <w:numId w:val="33"/>
        </w:numPr>
        <w:spacing w:after="60"/>
      </w:pPr>
      <w:r>
        <w:t xml:space="preserve">Default (do nothing — risky!)</w:t>
      </w:r>
    </w:p>
    <w:p>
      <w:pPr>
        <w:pStyle w:val="ListParagraph"/>
        <w:numPr>
          <w:ilvl w:val="0"/>
          <w:numId w:val="33"/>
        </w:numPr>
        <w:spacing w:after="60"/>
      </w:pPr>
      <w:r>
        <w:t xml:space="preserve">Motion to strike (remove improper material)</w:t>
      </w:r>
    </w:p>
    <w:p>
      <w:pPr>
        <w:pStyle w:val="ListParagraph"/>
        <w:numPr>
          <w:ilvl w:val="0"/>
          <w:numId w:val="33"/>
        </w:numPr>
        <w:spacing w:after="60"/>
      </w:pPr>
      <w:r>
        <w:t xml:space="preserve">Motion for more definite statement (too vague)</w:t>
      </w:r>
    </w:p>
    <w:p>
      <w:pPr>
        <w:pStyle w:val="ListParagraph"/>
        <w:numPr>
          <w:ilvl w:val="0"/>
          <w:numId w:val="33"/>
        </w:numPr>
        <w:spacing w:after="60"/>
      </w:pPr>
      <w:r>
        <w:t xml:space="preserve">Motion to dismiss (Rule 12(b))</w:t>
      </w:r>
    </w:p>
    <w:p>
      <w:pPr>
        <w:pStyle w:val="ListParagraph"/>
        <w:numPr>
          <w:ilvl w:val="0"/>
          <w:numId w:val="33"/>
        </w:numPr>
        <w:spacing w:after="60"/>
      </w:pPr>
      <w:r>
        <w:t xml:space="preserve">Answer (admit/deny + affirmative defenses)</w:t>
      </w:r>
    </w:p>
    <w:p>
      <w:pPr>
        <w:pStyle w:val="ListParagraph"/>
        <w:numPr>
          <w:ilvl w:val="0"/>
          <w:numId w:val="33"/>
        </w:numPr>
        <w:spacing w:after="60"/>
      </w:pPr>
      <w:r>
        <w:t xml:space="preserve">Motion for judgment on pleadings (after answer)</w:t>
      </w:r>
    </w:p>
    <w:p>
      <w:pPr>
        <w:pStyle w:val="ListParagraph"/>
        <w:numPr>
          <w:ilvl w:val="0"/>
          <w:numId w:val="33"/>
        </w:numPr>
        <w:spacing w:after="60"/>
      </w:pPr>
      <w:r>
        <w:t xml:space="preserve">Motion for summary judgment (after discovery)</w:t>
      </w:r>
    </w:p>
    <w:p>
      <w:pPr>
        <w:pBdr>
          <w:bottom w:val="single" w:color="2E4057" w:sz="3" w:space="1"/>
        </w:pBdr>
        <w:spacing w:before="240" w:after="240"/>
      </w:pPr>
    </w:p>
    <w:p>
      <w:pPr>
        <w:pStyle w:val="Heading1"/>
        <w:spacing w:before="360" w:after="120"/>
      </w:pPr>
      <w:r>
        <w:rPr>
          <w:b/>
          <w:bCs/>
        </w:rPr>
        <w:t xml:space="preserve">EXAM CHECKLISTS — USE THESE ON EVERY QUESTION</w:t>
      </w:r>
    </w:p>
    <w:p>
      <w:pPr>
        <w:spacing w:after="160"/>
      </w:pPr>
    </w:p>
    <w:p>
      <w:pPr>
        <w:pStyle w:val="Heading2"/>
        <w:spacing w:before="260" w:after="100"/>
      </w:pPr>
      <w:r>
        <w:rPr>
          <w:b/>
          <w:bCs/>
        </w:rPr>
        <w:t xml:space="preserve">Can Plaintiff File in Federal Court?</w:t>
      </w:r>
    </w:p>
    <w:p>
      <w:pPr>
        <w:spacing w:after="100"/>
      </w:pPr>
      <w:r>
        <w:rPr>
          <w:b/>
          <w:bCs/>
        </w:rPr>
        <w:t xml:space="preserve">1. SMJ? </w:t>
      </w:r>
      <w:r>
        <w:t xml:space="preserve">□ Federal question? □ Diversity (complete + &gt;$75K)? □ Supplemental?</w:t>
      </w:r>
    </w:p>
    <w:p>
      <w:pPr>
        <w:spacing w:after="100"/>
      </w:pPr>
      <w:r>
        <w:rPr>
          <w:b/>
          <w:bCs/>
        </w:rPr>
        <w:t xml:space="preserve">2. PJ? </w:t>
      </w:r>
      <w:r>
        <w:t xml:space="preserve">□ General (at home)? □ Specific (contacts + arising from + fairness)? □ Consent/waiver? □ Tag?</w:t>
      </w:r>
    </w:p>
    <w:p>
      <w:pPr>
        <w:spacing w:after="100"/>
      </w:pPr>
      <w:r>
        <w:rPr>
          <w:b/>
          <w:bCs/>
        </w:rPr>
        <w:t xml:space="preserve">3. Venue? </w:t>
      </w:r>
      <w:r>
        <w:t xml:space="preserve">□ D resides? □ Substantial events? □ Catchall?</w:t>
      </w:r>
    </w:p>
    <w:p>
      <w:pPr>
        <w:spacing w:after="160"/>
      </w:pPr>
    </w:p>
    <w:p>
      <w:pPr>
        <w:pStyle w:val="Heading2"/>
        <w:spacing w:before="260" w:after="100"/>
      </w:pPr>
      <w:r>
        <w:rPr>
          <w:b/>
          <w:bCs/>
        </w:rPr>
        <w:t xml:space="preserve">PJ Full Analysis Checklist</w:t>
      </w:r>
    </w:p>
    <w:p>
      <w:pPr>
        <w:pStyle w:val="ListParagraph"/>
        <w:numPr>
          <w:ilvl w:val="0"/>
          <w:numId w:val="34"/>
        </w:numPr>
        <w:spacing w:after="60"/>
      </w:pPr>
      <w:r>
        <w:t xml:space="preserve">Due process satisfied? (general, specific, consent, or tag)</w:t>
      </w:r>
    </w:p>
    <w:p>
      <w:pPr>
        <w:pStyle w:val="ListParagraph"/>
        <w:numPr>
          <w:ilvl w:val="0"/>
          <w:numId w:val="34"/>
        </w:numPr>
        <w:spacing w:after="60"/>
      </w:pPr>
      <w:r>
        <w:t xml:space="preserve">Long-arm statute authorizes it? (coextensive or restrictive)</w:t>
      </w:r>
    </w:p>
    <w:p>
      <w:pPr>
        <w:pStyle w:val="ListParagraph"/>
        <w:numPr>
          <w:ilvl w:val="0"/>
          <w:numId w:val="34"/>
        </w:numPr>
        <w:spacing w:after="60"/>
      </w:pPr>
      <w:r>
        <w:t xml:space="preserve">Proper service method?</w:t>
      </w:r>
    </w:p>
    <w:p>
      <w:pPr>
        <w:pStyle w:val="ListParagraph"/>
        <w:numPr>
          <w:ilvl w:val="0"/>
          <w:numId w:val="34"/>
        </w:numPr>
        <w:spacing w:after="60"/>
      </w:pPr>
      <w:r>
        <w:t xml:space="preserve">Correct documents served?</w:t>
      </w:r>
    </w:p>
    <w:p>
      <w:pPr>
        <w:pStyle w:val="ListParagraph"/>
        <w:numPr>
          <w:ilvl w:val="0"/>
          <w:numId w:val="34"/>
        </w:numPr>
        <w:spacing w:after="60"/>
      </w:pPr>
      <w:r>
        <w:t xml:space="preserve">Actual notice?</w:t>
      </w:r>
    </w:p>
    <w:p>
      <w:pPr>
        <w:spacing w:after="160"/>
      </w:pPr>
    </w:p>
    <w:p>
      <w:pPr>
        <w:pStyle w:val="Heading2"/>
        <w:spacing w:before="260" w:after="100"/>
      </w:pPr>
      <w:r>
        <w:rPr>
          <w:b/>
          <w:bCs/>
        </w:rPr>
        <w:t xml:space="preserve">MTD Checklist</w:t>
      </w:r>
    </w:p>
    <w:p>
      <w:pPr>
        <w:spacing w:after="100"/>
      </w:pPr>
      <w:r>
        <w:rPr>
          <w:b/>
          <w:bCs/>
        </w:rPr>
        <w:t xml:space="preserve">Waivable (must include if filing any MTD): </w:t>
      </w:r>
      <w:r>
        <w:t xml:space="preserve">□ PJ □ Venue □ Process □ Service</w:t>
      </w:r>
    </w:p>
    <w:p>
      <w:pPr>
        <w:spacing w:after="100"/>
      </w:pPr>
      <w:r>
        <w:rPr>
          <w:b/>
          <w:bCs/>
        </w:rPr>
        <w:t xml:space="preserve">Non-waivable: </w:t>
      </w:r>
      <w:r>
        <w:t xml:space="preserve">□ SMJ (never) □ Failure to state claim (until trial)</w:t>
      </w:r>
    </w:p>
    <w:p>
      <w:pPr>
        <w:spacing w:after="160"/>
      </w:pPr>
    </w:p>
    <w:p>
      <w:pPr>
        <w:pStyle w:val="Heading2"/>
        <w:spacing w:before="260" w:after="100"/>
      </w:pPr>
      <w:r>
        <w:rPr>
          <w:b/>
          <w:bCs/>
        </w:rPr>
        <w:t xml:space="preserve">Answer Checklist</w:t>
      </w:r>
    </w:p>
    <w:p>
      <w:pPr>
        <w:pStyle w:val="ListParagraph"/>
        <w:numPr>
          <w:ilvl w:val="0"/>
          <w:numId w:val="35"/>
        </w:numPr>
        <w:spacing w:after="60"/>
      </w:pPr>
      <w:r>
        <w:rPr>
          <w:b w:val="false"/>
          <w:bCs w:val="false"/>
        </w:rPr>
        <w:t xml:space="preserve">□ Admit/deny EACH allegation</w:t>
      </w:r>
    </w:p>
    <w:p>
      <w:pPr>
        <w:pStyle w:val="ListParagraph"/>
        <w:numPr>
          <w:ilvl w:val="0"/>
          <w:numId w:val="35"/>
        </w:numPr>
        <w:spacing w:after="60"/>
      </w:pPr>
      <w:r>
        <w:rPr>
          <w:b w:val="false"/>
          <w:bCs w:val="false"/>
        </w:rPr>
        <w:t xml:space="preserve">□ Use “otherwise denied” for partials</w:t>
      </w:r>
    </w:p>
    <w:p>
      <w:pPr>
        <w:pStyle w:val="ListParagraph"/>
        <w:numPr>
          <w:ilvl w:val="0"/>
          <w:numId w:val="35"/>
        </w:numPr>
        <w:spacing w:after="60"/>
      </w:pPr>
      <w:r>
        <w:rPr>
          <w:b w:val="false"/>
          <w:bCs w:val="false"/>
        </w:rPr>
        <w:t xml:space="preserve">□ Affirmative defenses (with substantial basis!)</w:t>
      </w:r>
    </w:p>
    <w:p>
      <w:pPr>
        <w:pStyle w:val="ListParagraph"/>
        <w:numPr>
          <w:ilvl w:val="0"/>
          <w:numId w:val="35"/>
        </w:numPr>
        <w:spacing w:after="60"/>
      </w:pPr>
      <w:r>
        <w:rPr>
          <w:b w:val="false"/>
          <w:bCs w:val="false"/>
        </w:rPr>
        <w:t xml:space="preserve">□ Counterclaims</w:t>
      </w:r>
    </w:p>
    <w:p>
      <w:pPr>
        <w:pStyle w:val="ListParagraph"/>
        <w:numPr>
          <w:ilvl w:val="0"/>
          <w:numId w:val="35"/>
        </w:numPr>
        <w:spacing w:after="60"/>
      </w:pPr>
      <w:r>
        <w:rPr>
          <w:b w:val="false"/>
          <w:bCs w:val="false"/>
        </w:rPr>
        <w:t xml:space="preserve">□ Jury demand</w:t>
      </w:r>
    </w:p>
    <w:p>
      <w:pPr>
        <w:pBdr>
          <w:bottom w:val="single" w:color="2E4057" w:sz="3" w:space="1"/>
        </w:pBdr>
        <w:spacing w:before="240" w:after="240"/>
      </w:pPr>
    </w:p>
    <w:p>
      <w:pPr>
        <w:pStyle w:val="Heading1"/>
        <w:spacing w:before="360" w:after="120"/>
      </w:pPr>
      <w:r>
        <w:rPr>
          <w:b/>
          <w:bCs/>
        </w:rPr>
        <w:t xml:space="preserve">KEY CASES TO KNOW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Case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Year</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20"/>
                <w:szCs w:val="20"/>
              </w:rPr>
              <w:t xml:space="preserve">What It Stands For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Pennoyer v. Neff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1877</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Original rule: must serve D while physically in the state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Hess v. Pawloski</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~1927</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Constructive consent: use state’s benefits = consent to PJ for related claims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International Shoe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1945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Modern minimum contacts test for PJ</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World-Wide VW</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1980</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Product traveling to state ≠ foreseeability of being sued there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Burger King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1985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Contracts reaching into forum state can establish PJ</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Asahi</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1987</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Stream of commerce split; fairness can block PJ</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Burnham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1990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Tag jurisdiction — no majority opinion, still unresolved</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Daimler v. Bauman</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2014</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General PJ limited to where corp is “at home” (incorporation/HQ)</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Ford v. Montana</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2021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“Arising from” = same TYPE of activity, not exact transaction</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Mottley</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1908</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Well-pleaded complaint rule — federal defense ≠ federal question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Twombly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2007</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Must plead plausible facts, not just recite statute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Iqbal</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2009</w:t>
            </w:r>
          </w:p>
        </w:tc>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sz w:val="20"/>
                <w:szCs w:val="20"/>
              </w:rPr>
              <w:t xml:space="preserve">Confirmed plausibility standard applies to ALL civil cases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Mullane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1950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Service must be reasonably calculated to provide notice</w:t>
            </w:r>
          </w:p>
        </w:tc>
      </w:tr>
    </w:tbl>
    <w:p>
      <w:pPr>
        <w:pBdr>
          <w:bottom w:val="single" w:color="2E4057" w:sz="3" w:space="1"/>
        </w:pBdr>
        <w:spacing w:before="240" w:after="240"/>
      </w:pPr>
    </w:p>
    <w:p>
      <w:pPr>
        <w:pStyle w:val="Heading1"/>
        <w:spacing w:before="360" w:after="120"/>
      </w:pPr>
      <w:r>
        <w:rPr>
          <w:b/>
          <w:bCs/>
        </w:rPr>
        <w:t xml:space="preserve">MOST TESTED CONCEPTS</w:t>
      </w:r>
    </w:p>
    <w:p>
      <w:pPr>
        <w:spacing w:after="160"/>
      </w:pPr>
    </w:p>
    <w:p>
      <w:pPr>
        <w:pStyle w:val="ListParagraph"/>
        <w:numPr>
          <w:ilvl w:val="0"/>
          <w:numId w:val="36"/>
        </w:numPr>
        <w:spacing w:after="60"/>
      </w:pPr>
      <w:r>
        <w:t xml:space="preserve">Complete diversity (one overlap destroys it)</w:t>
      </w:r>
    </w:p>
    <w:p>
      <w:pPr>
        <w:pStyle w:val="ListParagraph"/>
        <w:numPr>
          <w:ilvl w:val="0"/>
          <w:numId w:val="36"/>
        </w:numPr>
        <w:spacing w:after="60"/>
      </w:pPr>
      <w:r>
        <w:t xml:space="preserve">Well-pleaded complaint rule (defense doesn’t count!)</w:t>
      </w:r>
    </w:p>
    <w:p>
      <w:pPr>
        <w:pStyle w:val="ListParagraph"/>
        <w:numPr>
          <w:ilvl w:val="0"/>
          <w:numId w:val="36"/>
        </w:numPr>
        <w:spacing w:after="60"/>
      </w:pPr>
      <w:r>
        <w:t xml:space="preserve">Specific jurisdiction three-part test (contacts + arising from + fairness)</w:t>
      </w:r>
    </w:p>
    <w:p>
      <w:pPr>
        <w:pStyle w:val="ListParagraph"/>
        <w:numPr>
          <w:ilvl w:val="0"/>
          <w:numId w:val="36"/>
        </w:numPr>
        <w:spacing w:after="60"/>
      </w:pPr>
      <w:r>
        <w:t xml:space="preserve">District vs. state for corporate venue</w:t>
      </w:r>
    </w:p>
    <w:p>
      <w:pPr>
        <w:pStyle w:val="ListParagraph"/>
        <w:numPr>
          <w:ilvl w:val="0"/>
          <w:numId w:val="36"/>
        </w:numPr>
        <w:spacing w:after="60"/>
      </w:pPr>
      <w:r>
        <w:t xml:space="preserve">Plausibility standard (can’t just copy the statute)</w:t>
      </w:r>
    </w:p>
    <w:p>
      <w:pPr>
        <w:pStyle w:val="ListParagraph"/>
        <w:numPr>
          <w:ilvl w:val="0"/>
          <w:numId w:val="36"/>
        </w:numPr>
        <w:spacing w:after="60"/>
      </w:pPr>
      <w:r>
        <w:t xml:space="preserve">One bite at apple waiver rule</w:t>
      </w:r>
    </w:p>
    <w:p>
      <w:pPr>
        <w:pStyle w:val="ListParagraph"/>
        <w:numPr>
          <w:ilvl w:val="0"/>
          <w:numId w:val="36"/>
        </w:numPr>
        <w:spacing w:after="60"/>
      </w:pPr>
      <w:r>
        <w:t xml:space="preserve">Three stages framework (pleading → SJ → trial)</w:t>
      </w:r>
    </w:p>
    <w:p>
      <w:pPr>
        <w:pStyle w:val="ListParagraph"/>
        <w:numPr>
          <w:ilvl w:val="0"/>
          <w:numId w:val="36"/>
        </w:numPr>
        <w:spacing w:after="60"/>
      </w:pPr>
      <w:r>
        <w:t xml:space="preserve">Anything not denied = admitted</w:t>
      </w:r>
    </w:p>
    <w:p>
      <w:pPr>
        <w:pStyle w:val="ListParagraph"/>
        <w:numPr>
          <w:ilvl w:val="0"/>
          <w:numId w:val="36"/>
        </w:numPr>
        <w:spacing w:after="60"/>
      </w:pPr>
      <w:r>
        <w:t xml:space="preserve">Rule 11 procedure (21-day safe harbor)</w:t>
      </w:r>
    </w:p>
    <w:p>
      <w:pPr>
        <w:pStyle w:val="ListParagraph"/>
        <w:numPr>
          <w:ilvl w:val="0"/>
          <w:numId w:val="36"/>
        </w:numPr>
        <w:spacing w:after="60"/>
      </w:pPr>
      <w:r>
        <w:t xml:space="preserve">Default vs. default judgment (two separate steps)</w:t>
      </w:r>
    </w:p>
    <w:p>
      <w:pPr>
        <w:pStyle w:val="ListParagraph"/>
        <w:numPr>
          <w:ilvl w:val="0"/>
          <w:numId w:val="36"/>
        </w:numPr>
        <w:spacing w:after="60"/>
      </w:pPr>
      <w:r>
        <w:t xml:space="preserve">PJ is waivable, SMJ is not</w:t>
      </w:r>
    </w:p>
    <w:p>
      <w:pPr>
        <w:pStyle w:val="ListParagraph"/>
        <w:numPr>
          <w:ilvl w:val="0"/>
          <w:numId w:val="36"/>
        </w:numPr>
        <w:spacing w:after="60"/>
      </w:pPr>
      <w:r>
        <w:t xml:space="preserve">Due process ≠ authority (need both Constitution AND long-arm statute)</w:t>
      </w:r>
    </w:p>
    <w:p>
      <w:pPr>
        <w:pBdr>
          <w:bottom w:val="single" w:color="2E4057" w:sz="3" w:space="1"/>
        </w:pBdr>
        <w:spacing w:before="240" w:after="240"/>
      </w:pPr>
    </w:p>
    <w:p>
      <w:pPr>
        <w:pStyle w:val="Heading1"/>
        <w:spacing w:before="360" w:after="120"/>
      </w:pPr>
      <w:r>
        <w:rPr>
          <w:b/>
          <w:bCs/>
        </w:rPr>
        <w:t xml:space="preserve">COMMON EXAM TRAPS — DON’T FALL FOR THESE</w:t>
      </w:r>
    </w:p>
    <w:p>
      <w:pPr>
        <w:spacing w:after="160"/>
      </w:pPr>
    </w:p>
    <w:p>
      <w:pPr>
        <w:pStyle w:val="ListParagraph"/>
        <w:numPr>
          <w:ilvl w:val="0"/>
          <w:numId w:val="37"/>
        </w:numPr>
        <w:spacing w:after="60"/>
      </w:pPr>
      <w:r>
        <w:rPr>
          <w:b/>
          <w:bCs/>
        </w:rPr>
        <w:t xml:space="preserve">✘ </w:t>
      </w:r>
      <w:r>
        <w:t xml:space="preserve">"Plaintiff’s residence matters for venue" — it doesn’t!</w:t>
      </w:r>
    </w:p>
    <w:p>
      <w:pPr>
        <w:pStyle w:val="ListParagraph"/>
        <w:numPr>
          <w:ilvl w:val="0"/>
          <w:numId w:val="37"/>
        </w:numPr>
        <w:spacing w:after="60"/>
      </w:pPr>
      <w:r>
        <w:rPr>
          <w:b/>
          <w:bCs/>
        </w:rPr>
        <w:t xml:space="preserve">✘ </w:t>
      </w:r>
      <w:r>
        <w:t xml:space="preserve">"Diversity allows some overlap" — must be COMPLETE</w:t>
      </w:r>
    </w:p>
    <w:p>
      <w:pPr>
        <w:pStyle w:val="ListParagraph"/>
        <w:numPr>
          <w:ilvl w:val="0"/>
          <w:numId w:val="37"/>
        </w:numPr>
        <w:spacing w:after="60"/>
      </w:pPr>
      <w:r>
        <w:rPr>
          <w:b/>
          <w:bCs/>
        </w:rPr>
        <w:t xml:space="preserve">✘ </w:t>
      </w:r>
      <w:r>
        <w:t xml:space="preserve">"MTD contests the facts" — nope, assumes facts TRUE</w:t>
      </w:r>
    </w:p>
    <w:p>
      <w:pPr>
        <w:pStyle w:val="ListParagraph"/>
        <w:numPr>
          <w:ilvl w:val="0"/>
          <w:numId w:val="37"/>
        </w:numPr>
        <w:spacing w:after="60"/>
      </w:pPr>
      <w:r>
        <w:rPr>
          <w:b/>
          <w:bCs/>
        </w:rPr>
        <w:t xml:space="preserve">✘ </w:t>
      </w:r>
      <w:r>
        <w:t xml:space="preserve">"Can file a second MTD for stuff I forgot" — one bite rule!</w:t>
      </w:r>
    </w:p>
    <w:p>
      <w:pPr>
        <w:pStyle w:val="ListParagraph"/>
        <w:numPr>
          <w:ilvl w:val="0"/>
          <w:numId w:val="37"/>
        </w:numPr>
        <w:spacing w:after="60"/>
      </w:pPr>
      <w:r>
        <w:rPr>
          <w:b/>
          <w:bCs/>
        </w:rPr>
        <w:t xml:space="preserve">✘ </w:t>
      </w:r>
      <w:r>
        <w:t xml:space="preserve">"Rule 11 filed like other motions" — 21-day safe harbor wait!</w:t>
      </w:r>
    </w:p>
    <w:p>
      <w:pPr>
        <w:pStyle w:val="ListParagraph"/>
        <w:numPr>
          <w:ilvl w:val="0"/>
          <w:numId w:val="37"/>
        </w:numPr>
        <w:spacing w:after="60"/>
      </w:pPr>
      <w:r>
        <w:rPr>
          <w:b/>
          <w:bCs/>
        </w:rPr>
        <w:t xml:space="preserve">✘ </w:t>
      </w:r>
      <w:r>
        <w:t xml:space="preserve">"Entry of default = default judgment" — TWO separate steps</w:t>
      </w:r>
    </w:p>
    <w:p>
      <w:pPr>
        <w:pStyle w:val="ListParagraph"/>
        <w:numPr>
          <w:ilvl w:val="0"/>
          <w:numId w:val="37"/>
        </w:numPr>
        <w:spacing w:after="60"/>
      </w:pPr>
      <w:r>
        <w:rPr>
          <w:b/>
          <w:bCs/>
        </w:rPr>
        <w:t xml:space="preserve">✘ </w:t>
      </w:r>
      <w:r>
        <w:t xml:space="preserve">"Fairness factors can CREATE PJ" — they can only BLOCK it</w:t>
      </w:r>
    </w:p>
    <w:p>
      <w:pPr>
        <w:pStyle w:val="ListParagraph"/>
        <w:numPr>
          <w:ilvl w:val="0"/>
          <w:numId w:val="37"/>
        </w:numPr>
        <w:spacing w:after="60"/>
      </w:pPr>
      <w:r>
        <w:rPr>
          <w:b/>
          <w:bCs/>
        </w:rPr>
        <w:t xml:space="preserve">✘ </w:t>
      </w:r>
      <w:r>
        <w:t xml:space="preserve">"Impleader creates PJ" — it doesn’t</w:t>
      </w:r>
    </w:p>
    <w:p>
      <w:pPr>
        <w:pStyle w:val="ListParagraph"/>
        <w:numPr>
          <w:ilvl w:val="0"/>
          <w:numId w:val="37"/>
        </w:numPr>
        <w:spacing w:after="60"/>
      </w:pPr>
      <w:r>
        <w:rPr>
          <w:b/>
          <w:bCs/>
        </w:rPr>
        <w:t xml:space="preserve">✘ </w:t>
      </w:r>
      <w:r>
        <w:t xml:space="preserve">"Corporate venue = whole state" — measured by DISTRICT</w:t>
      </w:r>
    </w:p>
    <w:p>
      <w:pPr>
        <w:pStyle w:val="ListParagraph"/>
        <w:numPr>
          <w:ilvl w:val="0"/>
          <w:numId w:val="37"/>
        </w:numPr>
        <w:spacing w:after="60"/>
      </w:pPr>
      <w:r>
        <w:rPr>
          <w:b/>
          <w:bCs/>
        </w:rPr>
        <w:t xml:space="preserve">✘ </w:t>
      </w:r>
      <w:r>
        <w:t xml:space="preserve">"Publication is fine if it’s cheaper" — need impracticability</w:t>
      </w:r>
    </w:p>
    <w:p>
      <w:pPr>
        <w:pStyle w:val="ListParagraph"/>
        <w:numPr>
          <w:ilvl w:val="0"/>
          <w:numId w:val="37"/>
        </w:numPr>
        <w:spacing w:after="60"/>
      </w:pPr>
      <w:r>
        <w:rPr>
          <w:b/>
          <w:bCs/>
        </w:rPr>
        <w:t xml:space="preserve">✘ </w:t>
      </w:r>
      <w:r>
        <w:t xml:space="preserve">"Diversity met = MUST file federal" — P can always choose state</w:t>
      </w:r>
    </w:p>
    <w:p>
      <w:pPr>
        <w:pStyle w:val="ListParagraph"/>
        <w:numPr>
          <w:ilvl w:val="0"/>
          <w:numId w:val="37"/>
        </w:numPr>
        <w:spacing w:after="60"/>
      </w:pPr>
      <w:r>
        <w:rPr>
          <w:b/>
          <w:bCs/>
        </w:rPr>
        <w:t xml:space="preserve">✘ </w:t>
      </w:r>
      <w:r>
        <w:t xml:space="preserve">"Federal statute = MUST file federal" — state courts can hear unless exclusive</w:t>
      </w:r>
    </w:p>
    <w:p>
      <w:pPr>
        <w:pStyle w:val="ListParagraph"/>
        <w:numPr>
          <w:ilvl w:val="0"/>
          <w:numId w:val="37"/>
        </w:numPr>
        <w:spacing w:after="60"/>
      </w:pPr>
      <w:r>
        <w:rPr>
          <w:b/>
          <w:bCs/>
        </w:rPr>
        <w:t xml:space="preserve">✘ </w:t>
      </w:r>
      <w:r>
        <w:t xml:space="preserve">"Doing business = citizenship" — forum D rule uses citizenship, not where D does business</w:t>
      </w:r>
    </w:p>
    <w:p>
      <w:pPr>
        <w:pStyle w:val="ListParagraph"/>
        <w:numPr>
          <w:ilvl w:val="0"/>
          <w:numId w:val="37"/>
        </w:numPr>
        <w:spacing w:after="60"/>
      </w:pPr>
      <w:r>
        <w:rPr>
          <w:b/>
          <w:bCs/>
        </w:rPr>
        <w:t xml:space="preserve">✘ </w:t>
      </w:r>
      <w:r>
        <w:t xml:space="preserve">"Federal question has an amount requirement" — it does NOT</w:t>
      </w:r>
    </w:p>
    <w:p>
      <w:pPr>
        <w:pStyle w:val="ListParagraph"/>
        <w:numPr>
          <w:ilvl w:val="0"/>
          <w:numId w:val="37"/>
        </w:numPr>
        <w:spacing w:after="60"/>
      </w:pPr>
      <w:r>
        <w:rPr>
          <w:b/>
          <w:bCs/>
        </w:rPr>
        <w:t xml:space="preserve">✘ </w:t>
      </w:r>
      <w:r>
        <w:t xml:space="preserve">"D can’t remove" — removal is automatic; challenge via remand</w:t>
      </w:r>
    </w:p>
    <w:p>
      <w:pPr>
        <w:spacing w:after="160"/>
      </w:pPr>
    </w:p>
    <w:p>
      <w:pPr>
        <w:pBdr>
          <w:bottom w:val="single" w:color="2E4057" w:sz="3" w:space="1"/>
        </w:pBdr>
        <w:spacing w:before="240" w:after="240"/>
      </w:pPr>
    </w:p>
    <w:p>
      <w:pPr>
        <w:spacing w:before="200"/>
        <w:jc w:val="center"/>
      </w:pPr>
      <w:r>
        <w:rPr>
          <w:i/>
          <w:iCs/>
          <w:color w:val="777777"/>
          <w:sz w:val="20"/>
          <w:szCs w:val="20"/>
        </w:rPr>
        <w:t xml:space="preserve">This outline merges ALL materials: Course Notes (Weeks 1–3), Week 4 Study Guide,</w:t>
      </w:r>
    </w:p>
    <w:p>
      <w:pPr>
        <w:jc w:val="center"/>
      </w:pPr>
      <w:r>
        <w:rPr>
          <w:i/>
          <w:iCs/>
          <w:color w:val="777777"/>
          <w:sz w:val="20"/>
          <w:szCs w:val="20"/>
        </w:rPr>
        <w:t xml:space="preserve">Complete Outline (Weeks 1–6), and First Class Lecture notes.</w:t>
      </w:r>
    </w:p>
    <w:p>
      <w:pPr>
        <w:spacing w:after="200"/>
        <w:jc w:val="center"/>
      </w:pPr>
      <w:r>
        <w:rPr>
          <w:sz w:val="22"/>
          <w:szCs w:val="22"/>
        </w:rPr>
        <w:t xml:space="preserve">Ready for midterm prep! 💪</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D6B9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2026-02-17T04:52:25.028Z</dcterms:created>
  <dcterms:modified xsi:type="dcterms:W3CDTF">2026-02-17T04:52:25.029Z</dcterms:modified>
</cp:coreProperties>
</file>

<file path=docProps/custom.xml><?xml version="1.0" encoding="utf-8"?>
<Properties xmlns="http://schemas.openxmlformats.org/officeDocument/2006/custom-properties" xmlns:vt="http://schemas.openxmlformats.org/officeDocument/2006/docPropsVTypes"/>
</file>