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F5D62" w14:textId="77777777" w:rsidR="00376CE4" w:rsidRDefault="00BD4032">
      <w:pPr>
        <w:spacing w:before="640"/>
        <w:jc w:val="center"/>
        <w:rPr>
          <w:lang w:eastAsia="zh-CN"/>
        </w:rPr>
      </w:pPr>
      <w:r>
        <w:rPr>
          <w:rFonts w:ascii="Arial" w:eastAsia="Noto Sans CJK SC" w:hAnsi="Arial"/>
          <w:b/>
          <w:color w:val="464646"/>
          <w:sz w:val="26"/>
          <w:lang w:eastAsia="zh-CN"/>
        </w:rPr>
        <w:t>东北财经大学</w:t>
      </w:r>
      <w:r>
        <w:rPr>
          <w:rFonts w:ascii="Arial" w:eastAsia="Noto Sans CJK SC" w:hAnsi="Arial"/>
          <w:b/>
          <w:color w:val="464646"/>
          <w:sz w:val="26"/>
          <w:lang w:eastAsia="zh-CN"/>
        </w:rPr>
        <w:t xml:space="preserve"> MEM </w:t>
      </w:r>
      <w:r>
        <w:rPr>
          <w:rFonts w:ascii="Arial" w:eastAsia="Noto Sans CJK SC" w:hAnsi="Arial"/>
          <w:b/>
          <w:color w:val="464646"/>
          <w:sz w:val="26"/>
          <w:lang w:eastAsia="zh-CN"/>
        </w:rPr>
        <w:t>开题报告</w:t>
      </w:r>
    </w:p>
    <w:p w14:paraId="0C5E4089" w14:textId="77777777" w:rsidR="00376CE4" w:rsidRDefault="00BD4032">
      <w:pPr>
        <w:spacing w:before="280" w:after="160"/>
        <w:jc w:val="center"/>
        <w:rPr>
          <w:lang w:eastAsia="zh-CN"/>
        </w:rPr>
      </w:pPr>
      <w:r>
        <w:rPr>
          <w:rFonts w:ascii="Arial" w:eastAsia="Noto Sans CJK SC" w:hAnsi="Arial"/>
          <w:b/>
          <w:color w:val="141414"/>
          <w:sz w:val="44"/>
          <w:lang w:eastAsia="zh-CN"/>
        </w:rPr>
        <w:t xml:space="preserve">Pareto </w:t>
      </w:r>
      <w:r>
        <w:rPr>
          <w:rFonts w:ascii="Arial" w:eastAsia="Noto Sans CJK SC" w:hAnsi="Arial"/>
          <w:b/>
          <w:color w:val="141414"/>
          <w:sz w:val="44"/>
          <w:lang w:eastAsia="zh-CN"/>
        </w:rPr>
        <w:t>部分整合终稿</w:t>
      </w:r>
    </w:p>
    <w:p w14:paraId="16DE89A2" w14:textId="77777777" w:rsidR="00376CE4" w:rsidRDefault="00BD4032">
      <w:pPr>
        <w:jc w:val="center"/>
        <w:rPr>
          <w:lang w:eastAsia="zh-CN"/>
        </w:rPr>
      </w:pPr>
      <w:r>
        <w:rPr>
          <w:color w:val="505050"/>
          <w:sz w:val="24"/>
          <w:lang w:eastAsia="zh-CN"/>
        </w:rPr>
        <w:t>——</w:t>
      </w:r>
      <w:r>
        <w:rPr>
          <w:color w:val="505050"/>
          <w:sz w:val="24"/>
          <w:lang w:eastAsia="zh-CN"/>
        </w:rPr>
        <w:t>面向伪标签生产流程的跨尺度投入比较与情景选型</w:t>
      </w:r>
    </w:p>
    <w:p w14:paraId="7252D8BA" w14:textId="77777777" w:rsidR="00376CE4" w:rsidRDefault="00BD4032">
      <w:pPr>
        <w:spacing w:before="400"/>
        <w:jc w:val="center"/>
      </w:pPr>
      <w:r>
        <w:rPr>
          <w:color w:val="646464"/>
          <w:sz w:val="21"/>
        </w:rPr>
        <w:t>整理日期：</w:t>
      </w:r>
      <w:r>
        <w:rPr>
          <w:color w:val="646464"/>
          <w:sz w:val="21"/>
        </w:rPr>
        <w:t>2026</w:t>
      </w:r>
      <w:r>
        <w:rPr>
          <w:color w:val="646464"/>
          <w:sz w:val="21"/>
        </w:rPr>
        <w:t>年</w:t>
      </w:r>
      <w:r>
        <w:rPr>
          <w:color w:val="646464"/>
          <w:sz w:val="21"/>
        </w:rPr>
        <w:t>9</w:t>
      </w:r>
      <w:r>
        <w:rPr>
          <w:color w:val="646464"/>
          <w:sz w:val="21"/>
        </w:rPr>
        <w:t>月</w:t>
      </w:r>
      <w:r>
        <w:rPr>
          <w:color w:val="646464"/>
          <w:sz w:val="21"/>
        </w:rPr>
        <w:t>15</w:t>
      </w:r>
      <w:r>
        <w:rPr>
          <w:color w:val="646464"/>
          <w:sz w:val="21"/>
        </w:rPr>
        <w:t>日</w:t>
      </w:r>
    </w:p>
    <w:tbl>
      <w:tblPr>
        <w:tblW w:w="0" w:type="auto"/>
        <w:jc w:val="center"/>
        <w:tblLayout w:type="fixed"/>
        <w:tblLook w:val="04A0" w:firstRow="1" w:lastRow="0" w:firstColumn="1" w:lastColumn="0" w:noHBand="0" w:noVBand="1"/>
      </w:tblPr>
      <w:tblGrid>
        <w:gridCol w:w="9292"/>
      </w:tblGrid>
      <w:tr w:rsidR="00376CE4" w14:paraId="1AF802D7" w14:textId="77777777">
        <w:trPr>
          <w:jc w:val="center"/>
        </w:trPr>
        <w:tc>
          <w:tcPr>
            <w:tcW w:w="9292" w:type="dxa"/>
            <w:shd w:val="clear" w:color="auto" w:fill="F3F4F6"/>
            <w:tcMar>
              <w:top w:w="120" w:type="dxa"/>
              <w:left w:w="180" w:type="dxa"/>
              <w:bottom w:w="120" w:type="dxa"/>
              <w:right w:w="180" w:type="dxa"/>
            </w:tcMar>
          </w:tcPr>
          <w:p w14:paraId="6F513F58" w14:textId="77777777" w:rsidR="00376CE4" w:rsidRDefault="00BD4032">
            <w:pPr>
              <w:spacing w:line="324" w:lineRule="auto"/>
              <w:jc w:val="both"/>
              <w:rPr>
                <w:lang w:eastAsia="zh-CN"/>
              </w:rPr>
            </w:pPr>
            <w:r>
              <w:rPr>
                <w:sz w:val="21"/>
                <w:lang w:eastAsia="zh-CN"/>
              </w:rPr>
              <w:t>使用说明：本稿按照现有开题报告的技术主线进行收束。</w:t>
            </w:r>
            <w:r>
              <w:rPr>
                <w:sz w:val="21"/>
                <w:lang w:eastAsia="zh-CN"/>
              </w:rPr>
              <w:t xml:space="preserve">Pareto </w:t>
            </w:r>
            <w:r>
              <w:rPr>
                <w:sz w:val="21"/>
                <w:lang w:eastAsia="zh-CN"/>
              </w:rPr>
              <w:t>仅作为技术方案通过效用验证后的流程选型工具，不再扩展为独立的多目标优化研究。正文建议保留</w:t>
            </w:r>
            <w:r>
              <w:rPr>
                <w:sz w:val="21"/>
                <w:lang w:eastAsia="zh-CN"/>
              </w:rPr>
              <w:t>“</w:t>
            </w:r>
            <w:r>
              <w:rPr>
                <w:sz w:val="21"/>
                <w:lang w:eastAsia="zh-CN"/>
              </w:rPr>
              <w:t>有限候选方案枚举</w:t>
            </w:r>
            <w:r>
              <w:rPr>
                <w:sz w:val="21"/>
                <w:lang w:eastAsia="zh-CN"/>
              </w:rPr>
              <w:t xml:space="preserve"> + Pareto </w:t>
            </w:r>
            <w:r>
              <w:rPr>
                <w:sz w:val="21"/>
                <w:lang w:eastAsia="zh-CN"/>
              </w:rPr>
              <w:t>非支配筛选</w:t>
            </w:r>
            <w:r>
              <w:rPr>
                <w:sz w:val="21"/>
                <w:lang w:eastAsia="zh-CN"/>
              </w:rPr>
              <w:t xml:space="preserve"> + </w:t>
            </w:r>
            <w:r>
              <w:rPr>
                <w:sz w:val="21"/>
                <w:lang w:eastAsia="zh-CN"/>
              </w:rPr>
              <w:t>场景硬约束</w:t>
            </w:r>
            <w:r>
              <w:rPr>
                <w:sz w:val="21"/>
                <w:lang w:eastAsia="zh-CN"/>
              </w:rPr>
              <w:t>”</w:t>
            </w:r>
            <w:r>
              <w:rPr>
                <w:sz w:val="21"/>
                <w:lang w:eastAsia="zh-CN"/>
              </w:rPr>
              <w:t>的简单结构；</w:t>
            </w:r>
            <w:r>
              <w:rPr>
                <w:sz w:val="21"/>
                <w:lang w:eastAsia="zh-CN"/>
              </w:rPr>
              <w:t>1k</w:t>
            </w:r>
            <w:r>
              <w:rPr>
                <w:sz w:val="21"/>
                <w:lang w:eastAsia="zh-CN"/>
              </w:rPr>
              <w:t>、</w:t>
            </w:r>
            <w:r>
              <w:rPr>
                <w:sz w:val="21"/>
                <w:lang w:eastAsia="zh-CN"/>
              </w:rPr>
              <w:t>10k</w:t>
            </w:r>
            <w:r>
              <w:rPr>
                <w:sz w:val="21"/>
                <w:lang w:eastAsia="zh-CN"/>
              </w:rPr>
              <w:t>、</w:t>
            </w:r>
            <w:r>
              <w:rPr>
                <w:sz w:val="21"/>
                <w:lang w:eastAsia="zh-CN"/>
              </w:rPr>
              <w:t xml:space="preserve">100k </w:t>
            </w:r>
            <w:r>
              <w:rPr>
                <w:sz w:val="21"/>
                <w:lang w:eastAsia="zh-CN"/>
              </w:rPr>
              <w:t>作为代表性规模截面，不预设为固定切换阈值。</w:t>
            </w:r>
          </w:p>
        </w:tc>
      </w:tr>
    </w:tbl>
    <w:p w14:paraId="3791ACED" w14:textId="77777777" w:rsidR="00376CE4" w:rsidRDefault="00376CE4">
      <w:pPr>
        <w:spacing w:after="120"/>
        <w:rPr>
          <w:lang w:eastAsia="zh-CN"/>
        </w:rPr>
      </w:pPr>
    </w:p>
    <w:p w14:paraId="6AA3CA20" w14:textId="77777777" w:rsidR="00376CE4" w:rsidRDefault="00BD4032">
      <w:pPr>
        <w:pStyle w:val="1"/>
        <w:spacing w:before="200" w:after="100"/>
      </w:pPr>
      <w:proofErr w:type="spellStart"/>
      <w:r>
        <w:rPr>
          <w:rFonts w:ascii="Arial" w:eastAsia="Noto Sans CJK SC" w:hAnsi="Arial"/>
        </w:rPr>
        <w:t>一、研究定位：</w:t>
      </w:r>
      <w:r>
        <w:rPr>
          <w:rFonts w:ascii="Arial" w:eastAsia="Noto Sans CJK SC" w:hAnsi="Arial"/>
        </w:rPr>
        <w:t>Pareto</w:t>
      </w:r>
      <w:proofErr w:type="spellEnd"/>
      <w:r>
        <w:rPr>
          <w:rFonts w:ascii="Arial" w:eastAsia="Noto Sans CJK SC" w:hAnsi="Arial"/>
        </w:rPr>
        <w:t xml:space="preserve"> </w:t>
      </w:r>
      <w:proofErr w:type="spellStart"/>
      <w:r>
        <w:rPr>
          <w:rFonts w:ascii="Arial" w:eastAsia="Noto Sans CJK SC" w:hAnsi="Arial"/>
        </w:rPr>
        <w:t>是流程决策工具，而不是第二条算法主线</w:t>
      </w:r>
      <w:proofErr w:type="spellEnd"/>
    </w:p>
    <w:p w14:paraId="288E1926" w14:textId="77777777" w:rsidR="00376CE4" w:rsidRDefault="00BD4032">
      <w:pPr>
        <w:ind w:firstLine="420"/>
        <w:jc w:val="both"/>
        <w:rPr>
          <w:lang w:eastAsia="zh-CN"/>
        </w:rPr>
      </w:pPr>
      <w:r>
        <w:t>现有开题报告的主线已经较为完整：首先以</w:t>
      </w:r>
      <w:r>
        <w:t xml:space="preserve"> Grounding DINO V1 </w:t>
      </w:r>
      <w:r>
        <w:t>建立伪标签基准；随后将</w:t>
      </w:r>
      <w:r>
        <w:t xml:space="preserve"> SAM3 </w:t>
      </w:r>
      <w:r>
        <w:t>分解为</w:t>
      </w:r>
      <w:r>
        <w:t xml:space="preserve"> Verifier</w:t>
      </w:r>
      <w:r>
        <w:t>、</w:t>
      </w:r>
      <w:proofErr w:type="gramStart"/>
      <w:r>
        <w:t>Append</w:t>
      </w:r>
      <w:proofErr w:type="gramEnd"/>
      <w:r>
        <w:t xml:space="preserve"> </w:t>
      </w:r>
      <w:r>
        <w:t>与</w:t>
      </w:r>
      <w:r>
        <w:t xml:space="preserve"> Refiner </w:t>
      </w:r>
      <w:r>
        <w:t>三类权限角色，通过独立消融和</w:t>
      </w:r>
      <w:r>
        <w:t xml:space="preserve"> Go/Hold/Stop </w:t>
      </w:r>
      <w:r>
        <w:t>机制判断各后置操作是否值得保留；在候选方案冻结后，再以统一</w:t>
      </w:r>
      <w:r>
        <w:t xml:space="preserve"> YOLO </w:t>
      </w:r>
      <w:proofErr w:type="spellStart"/>
      <w:r>
        <w:t>训练、多随机种子和隔离测试集验证其下游效用</w:t>
      </w:r>
      <w:proofErr w:type="spellEnd"/>
      <w:r>
        <w:t>。</w:t>
      </w:r>
      <w:r>
        <w:rPr>
          <w:lang w:eastAsia="zh-CN"/>
        </w:rPr>
        <w:t>基于这一结构，</w:t>
      </w:r>
      <w:r>
        <w:rPr>
          <w:lang w:eastAsia="zh-CN"/>
        </w:rPr>
        <w:t xml:space="preserve">Pareto </w:t>
      </w:r>
      <w:r>
        <w:rPr>
          <w:lang w:eastAsia="zh-CN"/>
        </w:rPr>
        <w:t>分析最合适的功能，</w:t>
      </w:r>
      <w:proofErr w:type="gramStart"/>
      <w:r>
        <w:rPr>
          <w:lang w:eastAsia="zh-CN"/>
        </w:rPr>
        <w:t>是回答</w:t>
      </w:r>
      <w:r>
        <w:rPr>
          <w:lang w:eastAsia="zh-CN"/>
        </w:rPr>
        <w:t>“</w:t>
      </w:r>
      <w:proofErr w:type="gramEnd"/>
      <w:r>
        <w:rPr>
          <w:lang w:eastAsia="zh-CN"/>
        </w:rPr>
        <w:t>已经证明技术上可用的标签流程，</w:t>
      </w:r>
      <w:proofErr w:type="gramStart"/>
      <w:r>
        <w:rPr>
          <w:lang w:eastAsia="zh-CN"/>
        </w:rPr>
        <w:t>在不同生产规模和业务约束下应当如何选择</w:t>
      </w:r>
      <w:r>
        <w:rPr>
          <w:lang w:eastAsia="zh-CN"/>
        </w:rPr>
        <w:t>”</w:t>
      </w:r>
      <w:r>
        <w:rPr>
          <w:lang w:eastAsia="zh-CN"/>
        </w:rPr>
        <w:t>，</w:t>
      </w:r>
      <w:proofErr w:type="gramEnd"/>
      <w:r>
        <w:rPr>
          <w:lang w:eastAsia="zh-CN"/>
        </w:rPr>
        <w:t>而不是承担新的算法优化任务。</w:t>
      </w:r>
    </w:p>
    <w:p w14:paraId="6E679361" w14:textId="77777777" w:rsidR="00376CE4" w:rsidRDefault="00BD4032">
      <w:pPr>
        <w:ind w:firstLine="420"/>
        <w:jc w:val="both"/>
        <w:rPr>
          <w:lang w:eastAsia="zh-CN"/>
        </w:rPr>
      </w:pPr>
      <w:r>
        <w:rPr>
          <w:lang w:eastAsia="zh-CN"/>
        </w:rPr>
        <w:t>因此，第六章的分析对象应当严格受前序</w:t>
      </w:r>
      <w:r>
        <w:rPr>
          <w:lang w:eastAsia="zh-CN"/>
        </w:rPr>
        <w:t xml:space="preserve"> Gate </w:t>
      </w:r>
      <w:r>
        <w:rPr>
          <w:lang w:eastAsia="zh-CN"/>
        </w:rPr>
        <w:t>约束。</w:t>
      </w:r>
      <w:r>
        <w:rPr>
          <w:lang w:eastAsia="zh-CN"/>
        </w:rPr>
        <w:t xml:space="preserve">Refiner </w:t>
      </w:r>
      <w:r>
        <w:rPr>
          <w:lang w:eastAsia="zh-CN"/>
        </w:rPr>
        <w:t>若在第四章已经维持</w:t>
      </w:r>
      <w:r>
        <w:rPr>
          <w:lang w:eastAsia="zh-CN"/>
        </w:rPr>
        <w:t xml:space="preserve"> Stop</w:t>
      </w:r>
      <w:r>
        <w:rPr>
          <w:lang w:eastAsia="zh-CN"/>
        </w:rPr>
        <w:t>，就不再进入后续流程选型；</w:t>
      </w:r>
      <w:r>
        <w:rPr>
          <w:lang w:eastAsia="zh-CN"/>
        </w:rPr>
        <w:t xml:space="preserve">Append </w:t>
      </w:r>
      <w:r>
        <w:rPr>
          <w:lang w:eastAsia="zh-CN"/>
        </w:rPr>
        <w:t>或</w:t>
      </w:r>
      <w:r>
        <w:rPr>
          <w:lang w:eastAsia="zh-CN"/>
        </w:rPr>
        <w:t xml:space="preserve"> Verifier </w:t>
      </w:r>
      <w:r>
        <w:rPr>
          <w:lang w:eastAsia="zh-CN"/>
        </w:rPr>
        <w:t>只有在开发集、多随机种子及隔离测试中达到预设准入标准，才进入正式</w:t>
      </w:r>
      <w:r>
        <w:rPr>
          <w:lang w:eastAsia="zh-CN"/>
        </w:rPr>
        <w:t xml:space="preserve"> V2</w:t>
      </w:r>
      <w:r>
        <w:rPr>
          <w:lang w:eastAsia="zh-CN"/>
        </w:rPr>
        <w:t>。若最终没有任何</w:t>
      </w:r>
      <w:r>
        <w:rPr>
          <w:lang w:eastAsia="zh-CN"/>
        </w:rPr>
        <w:t xml:space="preserve"> SAM3 </w:t>
      </w:r>
      <w:r>
        <w:rPr>
          <w:lang w:eastAsia="zh-CN"/>
        </w:rPr>
        <w:t>级联配置通过门槛，则第六章只比较人工标注与</w:t>
      </w:r>
      <w:r>
        <w:rPr>
          <w:lang w:eastAsia="zh-CN"/>
        </w:rPr>
        <w:t xml:space="preserve"> V1</w:t>
      </w:r>
      <w:r>
        <w:rPr>
          <w:lang w:eastAsia="zh-CN"/>
        </w:rPr>
        <w:t>，不为保持</w:t>
      </w:r>
      <w:r>
        <w:rPr>
          <w:lang w:eastAsia="zh-CN"/>
        </w:rPr>
        <w:t>“</w:t>
      </w:r>
      <w:r>
        <w:rPr>
          <w:lang w:eastAsia="zh-CN"/>
        </w:rPr>
        <w:t>三方案结构</w:t>
      </w:r>
      <w:r>
        <w:rPr>
          <w:lang w:eastAsia="zh-CN"/>
        </w:rPr>
        <w:t>”</w:t>
      </w:r>
      <w:r>
        <w:rPr>
          <w:lang w:eastAsia="zh-CN"/>
        </w:rPr>
        <w:t>而人为保留无效</w:t>
      </w:r>
      <w:r>
        <w:rPr>
          <w:lang w:eastAsia="zh-CN"/>
        </w:rPr>
        <w:t xml:space="preserve"> V2</w:t>
      </w:r>
      <w:r>
        <w:rPr>
          <w:lang w:eastAsia="zh-CN"/>
        </w:rPr>
        <w:t>。这样可以使</w:t>
      </w:r>
      <w:r>
        <w:rPr>
          <w:lang w:eastAsia="zh-CN"/>
        </w:rPr>
        <w:t>“</w:t>
      </w:r>
      <w:r>
        <w:rPr>
          <w:lang w:eastAsia="zh-CN"/>
        </w:rPr>
        <w:t>角色消融</w:t>
      </w:r>
      <w:r>
        <w:rPr>
          <w:lang w:eastAsia="zh-CN"/>
        </w:rPr>
        <w:t>—</w:t>
      </w:r>
      <w:r>
        <w:rPr>
          <w:lang w:eastAsia="zh-CN"/>
        </w:rPr>
        <w:t>效用验证</w:t>
      </w:r>
      <w:r>
        <w:rPr>
          <w:lang w:eastAsia="zh-CN"/>
        </w:rPr>
        <w:t>—</w:t>
      </w:r>
      <w:r>
        <w:rPr>
          <w:lang w:eastAsia="zh-CN"/>
        </w:rPr>
        <w:t>工程选型</w:t>
      </w:r>
      <w:r>
        <w:rPr>
          <w:lang w:eastAsia="zh-CN"/>
        </w:rPr>
        <w:t>”</w:t>
      </w:r>
      <w:r>
        <w:rPr>
          <w:lang w:eastAsia="zh-CN"/>
        </w:rPr>
        <w:t>形成清晰的证据链。</w:t>
      </w:r>
    </w:p>
    <w:p w14:paraId="168DE282" w14:textId="77777777" w:rsidR="00376CE4" w:rsidRDefault="00BD4032">
      <w:pPr>
        <w:ind w:firstLine="420"/>
        <w:jc w:val="both"/>
        <w:rPr>
          <w:lang w:eastAsia="zh-CN"/>
        </w:rPr>
      </w:pPr>
      <w:r>
        <w:rPr>
          <w:lang w:eastAsia="zh-CN"/>
        </w:rPr>
        <w:t>在这一定位下，</w:t>
      </w:r>
      <w:r>
        <w:rPr>
          <w:lang w:eastAsia="zh-CN"/>
        </w:rPr>
        <w:t xml:space="preserve">Pareto </w:t>
      </w:r>
      <w:r>
        <w:rPr>
          <w:lang w:eastAsia="zh-CN"/>
        </w:rPr>
        <w:t>部分无需引入</w:t>
      </w:r>
      <w:r>
        <w:rPr>
          <w:lang w:eastAsia="zh-CN"/>
        </w:rPr>
        <w:t xml:space="preserve"> NSGA-II</w:t>
      </w:r>
      <w:r>
        <w:rPr>
          <w:lang w:eastAsia="zh-CN"/>
        </w:rPr>
        <w:t>、</w:t>
      </w:r>
      <w:r>
        <w:rPr>
          <w:lang w:eastAsia="zh-CN"/>
        </w:rPr>
        <w:t>TOPSIS</w:t>
      </w:r>
      <w:r>
        <w:rPr>
          <w:lang w:eastAsia="zh-CN"/>
        </w:rPr>
        <w:t>、</w:t>
      </w:r>
      <w:r>
        <w:rPr>
          <w:lang w:eastAsia="zh-CN"/>
        </w:rPr>
        <w:t>AHP</w:t>
      </w:r>
      <w:r>
        <w:rPr>
          <w:lang w:eastAsia="zh-CN"/>
        </w:rPr>
        <w:t>、超体积指标或复杂随机多目标求解器。候选流程数量本身很少，直接枚举各方案在质量、成本和交付周期上的表现，即可完成透明、可解释的非支配判定。</w:t>
      </w:r>
      <w:r>
        <w:rPr>
          <w:lang w:eastAsia="zh-CN"/>
        </w:rPr>
        <w:t xml:space="preserve">Ehrgott </w:t>
      </w:r>
      <w:r>
        <w:rPr>
          <w:lang w:eastAsia="zh-CN"/>
        </w:rPr>
        <w:t>等关于</w:t>
      </w:r>
      <w:r>
        <w:rPr>
          <w:lang w:eastAsia="zh-CN"/>
        </w:rPr>
        <w:t xml:space="preserve"> Pareto </w:t>
      </w:r>
      <w:r>
        <w:rPr>
          <w:lang w:eastAsia="zh-CN"/>
        </w:rPr>
        <w:t>有效解与偏好表达的综述所提供的核心启示，恰恰是</w:t>
      </w:r>
      <w:r>
        <w:rPr>
          <w:lang w:eastAsia="zh-CN"/>
        </w:rPr>
        <w:t>“</w:t>
      </w:r>
      <w:r>
        <w:rPr>
          <w:lang w:eastAsia="zh-CN"/>
        </w:rPr>
        <w:t>非支配集只是候选集，最终选择仍应服从具体约束与偏好</w:t>
      </w:r>
      <w:r>
        <w:rPr>
          <w:lang w:eastAsia="zh-CN"/>
        </w:rPr>
        <w:t>”</w:t>
      </w:r>
      <w:r>
        <w:rPr>
          <w:lang w:eastAsia="zh-CN"/>
        </w:rPr>
        <w:t>，这与本研究的工程决策场景高度一致。</w:t>
      </w:r>
    </w:p>
    <w:p w14:paraId="5C3748DA" w14:textId="77777777" w:rsidR="00376CE4" w:rsidRDefault="00BD4032">
      <w:pPr>
        <w:pStyle w:val="1"/>
        <w:spacing w:before="200" w:after="100"/>
        <w:rPr>
          <w:lang w:eastAsia="zh-CN"/>
        </w:rPr>
      </w:pPr>
      <w:r>
        <w:rPr>
          <w:rFonts w:ascii="Arial" w:eastAsia="Noto Sans CJK SC" w:hAnsi="Arial"/>
          <w:lang w:eastAsia="zh-CN"/>
        </w:rPr>
        <w:lastRenderedPageBreak/>
        <w:t>二、评价对象与指标边界</w:t>
      </w:r>
    </w:p>
    <w:p w14:paraId="4FF2B2CE" w14:textId="77777777" w:rsidR="00376CE4" w:rsidRDefault="00BD4032">
      <w:pPr>
        <w:pStyle w:val="21"/>
        <w:spacing w:before="140" w:after="100"/>
        <w:rPr>
          <w:lang w:eastAsia="zh-CN"/>
        </w:rPr>
      </w:pPr>
      <w:r>
        <w:rPr>
          <w:rFonts w:ascii="Arial" w:eastAsia="Noto Sans CJK SC" w:hAnsi="Arial"/>
          <w:lang w:eastAsia="zh-CN"/>
        </w:rPr>
        <w:t xml:space="preserve">2.1 </w:t>
      </w:r>
      <w:r>
        <w:rPr>
          <w:rFonts w:ascii="Arial" w:eastAsia="Noto Sans CJK SC" w:hAnsi="Arial"/>
          <w:lang w:eastAsia="zh-CN"/>
        </w:rPr>
        <w:t>候选流程</w:t>
      </w:r>
    </w:p>
    <w:p w14:paraId="2CC259FC" w14:textId="77777777" w:rsidR="00376CE4" w:rsidRDefault="00BD4032">
      <w:pPr>
        <w:ind w:firstLine="420"/>
        <w:jc w:val="both"/>
        <w:rPr>
          <w:lang w:eastAsia="zh-CN"/>
        </w:rPr>
      </w:pPr>
      <w:r>
        <w:rPr>
          <w:lang w:eastAsia="zh-CN"/>
        </w:rPr>
        <w:t>正式流程选型仅保留三类可能进入生产的候选：人工逐框标注（</w:t>
      </w:r>
      <w:r>
        <w:rPr>
          <w:lang w:eastAsia="zh-CN"/>
        </w:rPr>
        <w:t>Manual</w:t>
      </w:r>
      <w:r>
        <w:rPr>
          <w:lang w:eastAsia="zh-CN"/>
        </w:rPr>
        <w:t>）、</w:t>
      </w:r>
      <w:r>
        <w:rPr>
          <w:lang w:eastAsia="zh-CN"/>
        </w:rPr>
        <w:t xml:space="preserve">Grounding DINO V1 </w:t>
      </w:r>
      <w:r>
        <w:rPr>
          <w:lang w:eastAsia="zh-CN"/>
        </w:rPr>
        <w:t>基准，以及通过前序</w:t>
      </w:r>
      <w:r>
        <w:rPr>
          <w:lang w:eastAsia="zh-CN"/>
        </w:rPr>
        <w:t xml:space="preserve"> Gate </w:t>
      </w:r>
      <w:r>
        <w:rPr>
          <w:lang w:eastAsia="zh-CN"/>
        </w:rPr>
        <w:t>的</w:t>
      </w:r>
      <w:r>
        <w:rPr>
          <w:lang w:eastAsia="zh-CN"/>
        </w:rPr>
        <w:t xml:space="preserve"> SAM3 </w:t>
      </w:r>
      <w:r>
        <w:rPr>
          <w:lang w:eastAsia="zh-CN"/>
        </w:rPr>
        <w:t>级联方案</w:t>
      </w:r>
      <w:r>
        <w:rPr>
          <w:lang w:eastAsia="zh-CN"/>
        </w:rPr>
        <w:t xml:space="preserve"> V2</w:t>
      </w:r>
      <w:r>
        <w:rPr>
          <w:lang w:eastAsia="zh-CN"/>
        </w:rPr>
        <w:t>。约</w:t>
      </w:r>
      <w:r>
        <w:rPr>
          <w:lang w:eastAsia="zh-CN"/>
        </w:rPr>
        <w:t xml:space="preserve"> 500 </w:t>
      </w:r>
      <w:r>
        <w:rPr>
          <w:lang w:eastAsia="zh-CN"/>
        </w:rPr>
        <w:t>张的高质量</w:t>
      </w:r>
      <w:r>
        <w:rPr>
          <w:lang w:eastAsia="zh-CN"/>
        </w:rPr>
        <w:t xml:space="preserve"> Reference</w:t>
      </w:r>
      <w:r>
        <w:rPr>
          <w:lang w:eastAsia="zh-CN"/>
        </w:rPr>
        <w:t>、开发集和隔离测试集不参与生产</w:t>
      </w:r>
      <w:r>
        <w:rPr>
          <w:lang w:eastAsia="zh-CN"/>
        </w:rPr>
        <w:t xml:space="preserve"> Pareto </w:t>
      </w:r>
      <w:r>
        <w:rPr>
          <w:lang w:eastAsia="zh-CN"/>
        </w:rPr>
        <w:t>竞争，因为其功能是提供评价基准、阈值标定和无污染验证，本质上属于研究测量基础设施，而不是被自动化流程替代的生产对象。</w:t>
      </w:r>
    </w:p>
    <w:p w14:paraId="3702E786" w14:textId="77777777" w:rsidR="00376CE4" w:rsidRDefault="00BD4032">
      <w:pPr>
        <w:spacing w:before="80" w:after="120"/>
        <w:jc w:val="center"/>
      </w:pPr>
      <w:r>
        <w:rPr>
          <w:rFonts w:ascii="Cambria Math" w:hAnsi="Cambria Math"/>
        </w:rPr>
        <w:t xml:space="preserve">A = {Manual, V1, V2}    </w:t>
      </w:r>
      <w:r>
        <w:rPr>
          <w:rFonts w:ascii="Cambria Math" w:hAnsi="Cambria Math"/>
        </w:rPr>
        <w:t>（若</w:t>
      </w:r>
      <w:r>
        <w:rPr>
          <w:rFonts w:ascii="Cambria Math" w:hAnsi="Cambria Math"/>
        </w:rPr>
        <w:t xml:space="preserve"> V2 </w:t>
      </w:r>
      <w:r>
        <w:rPr>
          <w:rFonts w:ascii="Cambria Math" w:hAnsi="Cambria Math"/>
        </w:rPr>
        <w:t>未通过</w:t>
      </w:r>
      <w:r>
        <w:rPr>
          <w:rFonts w:ascii="Cambria Math" w:hAnsi="Cambria Math"/>
        </w:rPr>
        <w:t xml:space="preserve"> Gate</w:t>
      </w:r>
      <w:r>
        <w:rPr>
          <w:rFonts w:ascii="Cambria Math" w:hAnsi="Cambria Math"/>
        </w:rPr>
        <w:t>，则</w:t>
      </w:r>
      <w:r>
        <w:rPr>
          <w:rFonts w:ascii="Cambria Math" w:hAnsi="Cambria Math"/>
        </w:rPr>
        <w:t xml:space="preserve"> A = {Manual, V</w:t>
      </w:r>
      <w:proofErr w:type="gramStart"/>
      <w:r>
        <w:rPr>
          <w:rFonts w:ascii="Cambria Math" w:hAnsi="Cambria Math"/>
        </w:rPr>
        <w:t>1}</w:t>
      </w:r>
      <w:r>
        <w:rPr>
          <w:rFonts w:ascii="Cambria Math" w:hAnsi="Cambria Math"/>
        </w:rPr>
        <w:t>）</w:t>
      </w:r>
      <w:proofErr w:type="gramEnd"/>
    </w:p>
    <w:p w14:paraId="0578C465" w14:textId="77777777" w:rsidR="00376CE4" w:rsidRDefault="00BD4032">
      <w:pPr>
        <w:pStyle w:val="21"/>
        <w:spacing w:before="140" w:after="100"/>
      </w:pPr>
      <w:r>
        <w:rPr>
          <w:rFonts w:ascii="Arial" w:eastAsia="Noto Sans CJK SC" w:hAnsi="Arial"/>
        </w:rPr>
        <w:t xml:space="preserve">2.2 Pareto </w:t>
      </w:r>
      <w:r>
        <w:rPr>
          <w:rFonts w:ascii="Arial" w:eastAsia="Noto Sans CJK SC" w:hAnsi="Arial"/>
        </w:rPr>
        <w:t>主指标</w:t>
      </w:r>
    </w:p>
    <w:p w14:paraId="0512F976" w14:textId="77777777" w:rsidR="00376CE4" w:rsidRDefault="00BD4032">
      <w:pPr>
        <w:ind w:firstLine="420"/>
        <w:jc w:val="both"/>
        <w:rPr>
          <w:lang w:eastAsia="zh-CN"/>
        </w:rPr>
      </w:pPr>
      <w:r>
        <w:t xml:space="preserve">Pareto </w:t>
      </w:r>
      <w:r>
        <w:t>主分析建议控制在三个维度：下游检测效用</w:t>
      </w:r>
      <w:r>
        <w:t xml:space="preserve"> Q</w:t>
      </w:r>
      <w:r>
        <w:t>、纯标签制备成本</w:t>
      </w:r>
      <w:r>
        <w:t xml:space="preserve"> C</w:t>
      </w:r>
      <w:r>
        <w:t>，以及实际交付周期</w:t>
      </w:r>
      <w:r>
        <w:t xml:space="preserve"> T</w:t>
      </w:r>
      <w:r>
        <w:t>。</w:t>
      </w:r>
      <w:r>
        <w:rPr>
          <w:lang w:eastAsia="zh-CN"/>
        </w:rPr>
        <w:t>人工工时、</w:t>
      </w:r>
      <w:r>
        <w:rPr>
          <w:lang w:eastAsia="zh-CN"/>
        </w:rPr>
        <w:t xml:space="preserve">GPU </w:t>
      </w:r>
      <w:r>
        <w:rPr>
          <w:lang w:eastAsia="zh-CN"/>
        </w:rPr>
        <w:t>机时、抽检量、返工量等仍需完整记录，但主要作为成本和时延的解释变量，而不再全部并列为</w:t>
      </w:r>
      <w:r>
        <w:rPr>
          <w:lang w:eastAsia="zh-CN"/>
        </w:rPr>
        <w:t xml:space="preserve"> Pareto </w:t>
      </w:r>
      <w:r>
        <w:rPr>
          <w:lang w:eastAsia="zh-CN"/>
        </w:rPr>
        <w:t>目标。这样既保留了工程信息，也避免目标维度过多导致大部分方案互不支配、削弱筛选作用。</w:t>
      </w:r>
    </w:p>
    <w:p w14:paraId="43F8E222" w14:textId="77777777" w:rsidR="00376CE4" w:rsidRDefault="00BD4032">
      <w:pPr>
        <w:spacing w:before="80" w:after="120"/>
        <w:jc w:val="center"/>
      </w:pPr>
      <w:proofErr w:type="spellStart"/>
      <w:r>
        <w:rPr>
          <w:rFonts w:ascii="Cambria Math" w:hAnsi="Cambria Math"/>
        </w:rPr>
        <w:t>z_j</w:t>
      </w:r>
      <w:proofErr w:type="spellEnd"/>
      <w:r>
        <w:rPr>
          <w:rFonts w:ascii="Cambria Math" w:hAnsi="Cambria Math"/>
        </w:rPr>
        <w:t xml:space="preserve">(N) = [ </w:t>
      </w:r>
      <w:proofErr w:type="spellStart"/>
      <w:r>
        <w:rPr>
          <w:rFonts w:ascii="Cambria Math" w:hAnsi="Cambria Math"/>
        </w:rPr>
        <w:t>Q_j</w:t>
      </w:r>
      <w:proofErr w:type="spellEnd"/>
      <w:r>
        <w:rPr>
          <w:rFonts w:ascii="Cambria Math" w:hAnsi="Cambria Math"/>
        </w:rPr>
        <w:t>, -C_j(N), -T_j(N</w:t>
      </w:r>
      <w:proofErr w:type="gramStart"/>
      <w:r>
        <w:rPr>
          <w:rFonts w:ascii="Cambria Math" w:hAnsi="Cambria Math"/>
        </w:rPr>
        <w:t>) ]</w:t>
      </w:r>
      <w:proofErr w:type="gramEnd"/>
    </w:p>
    <w:p w14:paraId="3E080A05" w14:textId="77777777" w:rsidR="00376CE4" w:rsidRDefault="00BD4032">
      <w:pPr>
        <w:ind w:firstLine="420"/>
        <w:jc w:val="both"/>
        <w:rPr>
          <w:lang w:eastAsia="zh-CN"/>
        </w:rPr>
      </w:pPr>
      <w:r>
        <w:rPr>
          <w:lang w:eastAsia="zh-CN"/>
        </w:rPr>
        <w:t>其中，</w:t>
      </w:r>
      <w:proofErr w:type="spellStart"/>
      <w:r>
        <w:rPr>
          <w:lang w:eastAsia="zh-CN"/>
        </w:rPr>
        <w:t>Q_j</w:t>
      </w:r>
      <w:proofErr w:type="spellEnd"/>
      <w:r>
        <w:rPr>
          <w:lang w:eastAsia="zh-CN"/>
        </w:rPr>
        <w:t xml:space="preserve"> </w:t>
      </w:r>
      <w:r>
        <w:rPr>
          <w:lang w:eastAsia="zh-CN"/>
        </w:rPr>
        <w:t>建议以第五章冻结后的多随机种子</w:t>
      </w:r>
      <w:r>
        <w:rPr>
          <w:lang w:eastAsia="zh-CN"/>
        </w:rPr>
        <w:t xml:space="preserve"> mAP50:95 </w:t>
      </w:r>
      <w:r>
        <w:rPr>
          <w:lang w:eastAsia="zh-CN"/>
        </w:rPr>
        <w:t>均值作为主要效用指标，并同步报告</w:t>
      </w:r>
      <w:r>
        <w:rPr>
          <w:lang w:eastAsia="zh-CN"/>
        </w:rPr>
        <w:t xml:space="preserve"> Precision</w:t>
      </w:r>
      <w:r>
        <w:rPr>
          <w:lang w:eastAsia="zh-CN"/>
        </w:rPr>
        <w:t>、</w:t>
      </w:r>
      <w:r>
        <w:rPr>
          <w:lang w:eastAsia="zh-CN"/>
        </w:rPr>
        <w:t>Recall</w:t>
      </w:r>
      <w:r>
        <w:rPr>
          <w:lang w:eastAsia="zh-CN"/>
        </w:rPr>
        <w:t>、</w:t>
      </w:r>
      <w:r>
        <w:rPr>
          <w:lang w:eastAsia="zh-CN"/>
        </w:rPr>
        <w:t xml:space="preserve">mAP50 </w:t>
      </w:r>
      <w:r>
        <w:rPr>
          <w:lang w:eastAsia="zh-CN"/>
        </w:rPr>
        <w:t>及相对人工</w:t>
      </w:r>
      <w:r>
        <w:rPr>
          <w:lang w:eastAsia="zh-CN"/>
        </w:rPr>
        <w:t xml:space="preserve"> GT </w:t>
      </w:r>
      <w:r>
        <w:rPr>
          <w:lang w:eastAsia="zh-CN"/>
        </w:rPr>
        <w:t>的性能保留率。对于火烟检测中具有明显安全意义的</w:t>
      </w:r>
      <w:r>
        <w:rPr>
          <w:lang w:eastAsia="zh-CN"/>
        </w:rPr>
        <w:t xml:space="preserve"> Recall</w:t>
      </w:r>
      <w:r>
        <w:rPr>
          <w:lang w:eastAsia="zh-CN"/>
        </w:rPr>
        <w:t>，不建议简单与成本进行加权补偿，而应在特定场景中设置最低门槛。也就是说，质量未达到最低要求的方案先从可行集剔除，再谈</w:t>
      </w:r>
      <w:r>
        <w:rPr>
          <w:lang w:eastAsia="zh-CN"/>
        </w:rPr>
        <w:t xml:space="preserve"> Pareto</w:t>
      </w:r>
      <w:r>
        <w:rPr>
          <w:lang w:eastAsia="zh-CN"/>
        </w:rPr>
        <w:t>。</w:t>
      </w:r>
    </w:p>
    <w:p w14:paraId="55752939" w14:textId="77777777" w:rsidR="00376CE4" w:rsidRDefault="00BD4032">
      <w:pPr>
        <w:pStyle w:val="1"/>
        <w:spacing w:before="200" w:after="100"/>
        <w:rPr>
          <w:lang w:eastAsia="zh-CN"/>
        </w:rPr>
      </w:pPr>
      <w:r>
        <w:rPr>
          <w:rFonts w:ascii="Arial" w:eastAsia="Noto Sans CJK SC" w:hAnsi="Arial"/>
          <w:lang w:eastAsia="zh-CN"/>
        </w:rPr>
        <w:t>三、多规模投入模型：</w:t>
      </w:r>
      <w:r>
        <w:rPr>
          <w:rFonts w:ascii="Arial" w:eastAsia="Noto Sans CJK SC" w:hAnsi="Arial"/>
          <w:lang w:eastAsia="zh-CN"/>
        </w:rPr>
        <w:t>1k</w:t>
      </w:r>
      <w:r>
        <w:rPr>
          <w:rFonts w:ascii="Arial" w:eastAsia="Noto Sans CJK SC" w:hAnsi="Arial"/>
          <w:lang w:eastAsia="zh-CN"/>
        </w:rPr>
        <w:t>、</w:t>
      </w:r>
      <w:r>
        <w:rPr>
          <w:rFonts w:ascii="Arial" w:eastAsia="Noto Sans CJK SC" w:hAnsi="Arial"/>
          <w:lang w:eastAsia="zh-CN"/>
        </w:rPr>
        <w:t>10k</w:t>
      </w:r>
      <w:r>
        <w:rPr>
          <w:rFonts w:ascii="Arial" w:eastAsia="Noto Sans CJK SC" w:hAnsi="Arial"/>
          <w:lang w:eastAsia="zh-CN"/>
        </w:rPr>
        <w:t>、</w:t>
      </w:r>
      <w:r>
        <w:rPr>
          <w:rFonts w:ascii="Arial" w:eastAsia="Noto Sans CJK SC" w:hAnsi="Arial"/>
          <w:lang w:eastAsia="zh-CN"/>
        </w:rPr>
        <w:t xml:space="preserve">100k </w:t>
      </w:r>
      <w:r>
        <w:rPr>
          <w:rFonts w:ascii="Arial" w:eastAsia="Noto Sans CJK SC" w:hAnsi="Arial"/>
          <w:lang w:eastAsia="zh-CN"/>
        </w:rPr>
        <w:t>是观察截面，不是先验阈值</w:t>
      </w:r>
    </w:p>
    <w:p w14:paraId="0ABB4D85" w14:textId="77777777" w:rsidR="00376CE4" w:rsidRDefault="00BD4032">
      <w:pPr>
        <w:ind w:firstLine="420"/>
        <w:jc w:val="both"/>
        <w:rPr>
          <w:lang w:eastAsia="zh-CN"/>
        </w:rPr>
      </w:pPr>
      <w:r>
        <w:rPr>
          <w:lang w:eastAsia="zh-CN"/>
        </w:rPr>
        <w:t>1k</w:t>
      </w:r>
      <w:r>
        <w:rPr>
          <w:lang w:eastAsia="zh-CN"/>
        </w:rPr>
        <w:t>、</w:t>
      </w:r>
      <w:r>
        <w:rPr>
          <w:lang w:eastAsia="zh-CN"/>
        </w:rPr>
        <w:t xml:space="preserve">10k </w:t>
      </w:r>
      <w:r>
        <w:rPr>
          <w:lang w:eastAsia="zh-CN"/>
        </w:rPr>
        <w:t>和</w:t>
      </w:r>
      <w:r>
        <w:rPr>
          <w:lang w:eastAsia="zh-CN"/>
        </w:rPr>
        <w:t xml:space="preserve"> 100k </w:t>
      </w:r>
      <w:r>
        <w:rPr>
          <w:lang w:eastAsia="zh-CN"/>
        </w:rPr>
        <w:t>三个规模应继续保留，但其学术含义需要调整。它们用于观察固定启动开销、模型推理吞吐、人工复核负担以及返工成本随数据量增长的变化，不应被写成</w:t>
      </w:r>
      <w:r>
        <w:rPr>
          <w:lang w:eastAsia="zh-CN"/>
        </w:rPr>
        <w:t>“</w:t>
      </w:r>
      <w:r>
        <w:rPr>
          <w:lang w:eastAsia="zh-CN"/>
        </w:rPr>
        <w:t>达到</w:t>
      </w:r>
      <w:r>
        <w:rPr>
          <w:lang w:eastAsia="zh-CN"/>
        </w:rPr>
        <w:t xml:space="preserve"> 10k </w:t>
      </w:r>
      <w:r>
        <w:rPr>
          <w:lang w:eastAsia="zh-CN"/>
        </w:rPr>
        <w:t>就必须切换</w:t>
      </w:r>
      <w:r>
        <w:rPr>
          <w:lang w:eastAsia="zh-CN"/>
        </w:rPr>
        <w:t xml:space="preserve"> V1</w:t>
      </w:r>
      <w:r>
        <w:rPr>
          <w:lang w:eastAsia="zh-CN"/>
        </w:rPr>
        <w:t>、达到</w:t>
      </w:r>
      <w:r>
        <w:rPr>
          <w:lang w:eastAsia="zh-CN"/>
        </w:rPr>
        <w:t xml:space="preserve"> 100k </w:t>
      </w:r>
      <w:r>
        <w:rPr>
          <w:lang w:eastAsia="zh-CN"/>
        </w:rPr>
        <w:t>就必须切换</w:t>
      </w:r>
      <w:r>
        <w:rPr>
          <w:lang w:eastAsia="zh-CN"/>
        </w:rPr>
        <w:t xml:space="preserve"> V2”</w:t>
      </w:r>
      <w:r>
        <w:rPr>
          <w:lang w:eastAsia="zh-CN"/>
        </w:rPr>
        <w:t>之类的预设边界。真实的切换条件由质量门槛、成本和交付时限共同决定。</w:t>
      </w:r>
    </w:p>
    <w:p w14:paraId="4E99AAAD" w14:textId="77777777" w:rsidR="00376CE4" w:rsidRDefault="00BD4032">
      <w:pPr>
        <w:ind w:firstLine="420"/>
        <w:jc w:val="both"/>
        <w:rPr>
          <w:lang w:eastAsia="zh-CN"/>
        </w:rPr>
      </w:pPr>
      <w:r>
        <w:rPr>
          <w:lang w:eastAsia="zh-CN"/>
        </w:rPr>
        <w:t>纯标签制备成本可采用</w:t>
      </w:r>
      <w:r>
        <w:rPr>
          <w:lang w:eastAsia="zh-CN"/>
        </w:rPr>
        <w:t>“</w:t>
      </w:r>
      <w:r>
        <w:rPr>
          <w:lang w:eastAsia="zh-CN"/>
        </w:rPr>
        <w:t>固定投入</w:t>
      </w:r>
      <w:r>
        <w:rPr>
          <w:lang w:eastAsia="zh-CN"/>
        </w:rPr>
        <w:t xml:space="preserve"> + </w:t>
      </w:r>
      <w:r>
        <w:rPr>
          <w:lang w:eastAsia="zh-CN"/>
        </w:rPr>
        <w:t>规模相关投入</w:t>
      </w:r>
      <w:r>
        <w:rPr>
          <w:lang w:eastAsia="zh-CN"/>
        </w:rPr>
        <w:t>”</w:t>
      </w:r>
      <w:r>
        <w:rPr>
          <w:lang w:eastAsia="zh-CN"/>
        </w:rPr>
        <w:t>的简化形式。对流程</w:t>
      </w:r>
      <w:r>
        <w:rPr>
          <w:lang w:eastAsia="zh-CN"/>
        </w:rPr>
        <w:t xml:space="preserve"> j </w:t>
      </w:r>
      <w:r>
        <w:rPr>
          <w:lang w:eastAsia="zh-CN"/>
        </w:rPr>
        <w:t>和图像规模</w:t>
      </w:r>
      <w:r>
        <w:rPr>
          <w:lang w:eastAsia="zh-CN"/>
        </w:rPr>
        <w:t xml:space="preserve"> N</w:t>
      </w:r>
      <w:r>
        <w:rPr>
          <w:lang w:eastAsia="zh-CN"/>
        </w:rPr>
        <w:t>，可写为：</w:t>
      </w:r>
    </w:p>
    <w:p w14:paraId="783593FF" w14:textId="77777777" w:rsidR="00376CE4" w:rsidRDefault="00BD4032">
      <w:pPr>
        <w:spacing w:before="80" w:after="120"/>
        <w:jc w:val="center"/>
      </w:pPr>
      <w:proofErr w:type="spellStart"/>
      <w:r>
        <w:rPr>
          <w:rFonts w:ascii="Cambria Math" w:hAnsi="Cambria Math"/>
        </w:rPr>
        <w:t>C_j</w:t>
      </w:r>
      <w:proofErr w:type="spellEnd"/>
      <w:r>
        <w:rPr>
          <w:rFonts w:ascii="Cambria Math" w:hAnsi="Cambria Math"/>
        </w:rPr>
        <w:t xml:space="preserve">(N) = </w:t>
      </w:r>
      <w:proofErr w:type="spellStart"/>
      <w:r>
        <w:rPr>
          <w:rFonts w:ascii="Cambria Math" w:hAnsi="Cambria Math"/>
        </w:rPr>
        <w:t>F_j</w:t>
      </w:r>
      <w:proofErr w:type="spellEnd"/>
      <w:r>
        <w:rPr>
          <w:rFonts w:ascii="Cambria Math" w:hAnsi="Cambria Math"/>
        </w:rPr>
        <w:t xml:space="preserve"> + p_GPU · G_j(N) + w_h · [H_</w:t>
      </w:r>
      <w:proofErr w:type="gramStart"/>
      <w:r>
        <w:rPr>
          <w:rFonts w:ascii="Cambria Math" w:hAnsi="Cambria Math"/>
        </w:rPr>
        <w:t>create,j</w:t>
      </w:r>
      <w:proofErr w:type="gramEnd"/>
      <w:r>
        <w:rPr>
          <w:rFonts w:ascii="Cambria Math" w:hAnsi="Cambria Math"/>
        </w:rPr>
        <w:t>(N) + H_</w:t>
      </w:r>
      <w:proofErr w:type="gramStart"/>
      <w:r>
        <w:rPr>
          <w:rFonts w:ascii="Cambria Math" w:hAnsi="Cambria Math"/>
        </w:rPr>
        <w:t>verify,j</w:t>
      </w:r>
      <w:proofErr w:type="gramEnd"/>
      <w:r>
        <w:rPr>
          <w:rFonts w:ascii="Cambria Math" w:hAnsi="Cambria Math"/>
        </w:rPr>
        <w:t>(N) + H_</w:t>
      </w:r>
      <w:proofErr w:type="gramStart"/>
      <w:r>
        <w:rPr>
          <w:rFonts w:ascii="Cambria Math" w:hAnsi="Cambria Math"/>
        </w:rPr>
        <w:t>correct,j</w:t>
      </w:r>
      <w:proofErr w:type="gramEnd"/>
      <w:r>
        <w:rPr>
          <w:rFonts w:ascii="Cambria Math" w:hAnsi="Cambria Math"/>
        </w:rPr>
        <w:t>(N)]</w:t>
      </w:r>
    </w:p>
    <w:p w14:paraId="3A7BA615" w14:textId="77777777" w:rsidR="00376CE4" w:rsidRDefault="00BD4032">
      <w:pPr>
        <w:ind w:firstLine="420"/>
        <w:jc w:val="both"/>
        <w:rPr>
          <w:lang w:eastAsia="zh-CN"/>
        </w:rPr>
      </w:pPr>
      <w:r>
        <w:lastRenderedPageBreak/>
        <w:t>其中，</w:t>
      </w:r>
      <w:r>
        <w:t xml:space="preserve">F_j </w:t>
      </w:r>
      <w:r>
        <w:t>为配置、阈值标定、模型装载和流程初始化等固定开销；</w:t>
      </w:r>
      <w:r>
        <w:t xml:space="preserve">G_j(N) </w:t>
      </w:r>
      <w:r>
        <w:t>为</w:t>
      </w:r>
      <w:r>
        <w:t xml:space="preserve"> GPU </w:t>
      </w:r>
      <w:r>
        <w:t>机时；</w:t>
      </w:r>
      <w:r>
        <w:t xml:space="preserve">p_GPU </w:t>
      </w:r>
      <w:r>
        <w:t>为</w:t>
      </w:r>
      <w:r>
        <w:t xml:space="preserve"> GPU </w:t>
      </w:r>
      <w:r>
        <w:t>单价；</w:t>
      </w:r>
      <w:r>
        <w:t xml:space="preserve">w_h </w:t>
      </w:r>
      <w:r>
        <w:t>为人工单位工时成本；</w:t>
      </w:r>
      <w:r>
        <w:t>H_create</w:t>
      </w:r>
      <w:r>
        <w:t>、</w:t>
      </w:r>
      <w:r>
        <w:t xml:space="preserve">H_verify </w:t>
      </w:r>
      <w:r>
        <w:t>和</w:t>
      </w:r>
      <w:r>
        <w:t xml:space="preserve"> H_correct </w:t>
      </w:r>
      <w:proofErr w:type="spellStart"/>
      <w:r>
        <w:t>分别对应从零标注、伪标签复核和错误修正</w:t>
      </w:r>
      <w:proofErr w:type="spellEnd"/>
      <w:r>
        <w:t>。</w:t>
      </w:r>
      <w:r>
        <w:rPr>
          <w:lang w:eastAsia="zh-CN"/>
        </w:rPr>
        <w:t>若存在外包质检、数据传输或其他独立费用，可作为额外项单列。</w:t>
      </w:r>
    </w:p>
    <w:p w14:paraId="349F44A1" w14:textId="77777777" w:rsidR="00376CE4" w:rsidRDefault="00BD4032">
      <w:pPr>
        <w:ind w:firstLine="420"/>
        <w:jc w:val="both"/>
        <w:rPr>
          <w:lang w:eastAsia="zh-CN"/>
        </w:rPr>
      </w:pPr>
      <w:r>
        <w:rPr>
          <w:lang w:eastAsia="zh-CN"/>
        </w:rPr>
        <w:t>统一</w:t>
      </w:r>
      <w:r>
        <w:rPr>
          <w:lang w:eastAsia="zh-CN"/>
        </w:rPr>
        <w:t xml:space="preserve"> YOLO </w:t>
      </w:r>
      <w:r>
        <w:rPr>
          <w:lang w:eastAsia="zh-CN"/>
        </w:rPr>
        <w:t>下游训练不宜再称为</w:t>
      </w:r>
      <w:r>
        <w:rPr>
          <w:lang w:eastAsia="zh-CN"/>
        </w:rPr>
        <w:t>“</w:t>
      </w:r>
      <w:r>
        <w:rPr>
          <w:lang w:eastAsia="zh-CN"/>
        </w:rPr>
        <w:t>沉没成本</w:t>
      </w:r>
      <w:r>
        <w:rPr>
          <w:lang w:eastAsia="zh-CN"/>
        </w:rPr>
        <w:t>”</w:t>
      </w:r>
      <w:r>
        <w:rPr>
          <w:lang w:eastAsia="zh-CN"/>
        </w:rPr>
        <w:t>。更准确的表述是</w:t>
      </w:r>
      <w:r>
        <w:rPr>
          <w:lang w:eastAsia="zh-CN"/>
        </w:rPr>
        <w:t>“</w:t>
      </w:r>
      <w:r>
        <w:rPr>
          <w:lang w:eastAsia="zh-CN"/>
        </w:rPr>
        <w:t>共同成本</w:t>
      </w:r>
      <w:r>
        <w:rPr>
          <w:lang w:eastAsia="zh-CN"/>
        </w:rPr>
        <w:t>”</w:t>
      </w:r>
      <w:r>
        <w:rPr>
          <w:lang w:eastAsia="zh-CN"/>
        </w:rPr>
        <w:t>或</w:t>
      </w:r>
      <w:r>
        <w:rPr>
          <w:lang w:eastAsia="zh-CN"/>
        </w:rPr>
        <w:t>“</w:t>
      </w:r>
      <w:r>
        <w:rPr>
          <w:lang w:eastAsia="zh-CN"/>
        </w:rPr>
        <w:t>非差异成本</w:t>
      </w:r>
      <w:r>
        <w:rPr>
          <w:lang w:eastAsia="zh-CN"/>
        </w:rPr>
        <w:t>”</w:t>
      </w:r>
      <w:r>
        <w:rPr>
          <w:lang w:eastAsia="zh-CN"/>
        </w:rPr>
        <w:t>：如果所有候选方案均采用同一训练协议，则该部分不会改变流程间的相对排序，可以在纯标签生产效率比较中消去；但若某一方案额外诱发重训、返工或额外超参数调优，则新增部分属于方案诱发成本，应重新计入。</w:t>
      </w:r>
    </w:p>
    <w:p w14:paraId="5D189586" w14:textId="77777777" w:rsidR="00376CE4" w:rsidRDefault="00BD4032">
      <w:pPr>
        <w:ind w:firstLine="420"/>
        <w:jc w:val="both"/>
      </w:pPr>
      <w:proofErr w:type="spellStart"/>
      <w:r>
        <w:t>交付周期需与</w:t>
      </w:r>
      <w:proofErr w:type="spellEnd"/>
      <w:r>
        <w:t xml:space="preserve"> machine-hours </w:t>
      </w:r>
      <w:r>
        <w:t>和</w:t>
      </w:r>
      <w:r>
        <w:t xml:space="preserve"> human-hours </w:t>
      </w:r>
      <w:r>
        <w:t>区分。</w:t>
      </w:r>
      <w:r>
        <w:t xml:space="preserve">GPU </w:t>
      </w:r>
      <w:r>
        <w:t>运行</w:t>
      </w:r>
      <w:r>
        <w:t xml:space="preserve"> 10 </w:t>
      </w:r>
      <w:r>
        <w:t>小时、人工复核</w:t>
      </w:r>
      <w:r>
        <w:t xml:space="preserve"> 10 </w:t>
      </w:r>
      <w:r>
        <w:t>小时，并不意味着交付周期必然为</w:t>
      </w:r>
      <w:r>
        <w:t xml:space="preserve"> 20 </w:t>
      </w:r>
      <w:r>
        <w:t>小时；若二者存在流水并行关系，应以真实</w:t>
      </w:r>
      <w:r>
        <w:t xml:space="preserve"> wall-clock lead time </w:t>
      </w:r>
      <w:r>
        <w:t>为准。因此，第六章建议同时报告</w:t>
      </w:r>
      <w:r>
        <w:t xml:space="preserve"> GPU machine-hours</w:t>
      </w:r>
      <w:r>
        <w:t>、</w:t>
      </w:r>
      <w:r>
        <w:t xml:space="preserve">human-hours </w:t>
      </w:r>
      <w:r>
        <w:t>与</w:t>
      </w:r>
      <w:r>
        <w:t xml:space="preserve"> wall-clock lead time </w:t>
      </w:r>
      <w:r>
        <w:t>三类时间量，避免简单相加造成误判。</w:t>
      </w:r>
    </w:p>
    <w:p w14:paraId="132D28FF" w14:textId="77777777" w:rsidR="00376CE4" w:rsidRDefault="00BD4032">
      <w:pPr>
        <w:ind w:firstLine="420"/>
        <w:jc w:val="both"/>
        <w:rPr>
          <w:lang w:eastAsia="zh-CN"/>
        </w:rPr>
      </w:pPr>
      <w:r>
        <w:t>如果多点实测显示成本或时延近似满足线性关系，可进一步估计两方案间的交叉规模</w:t>
      </w:r>
      <w:r>
        <w:t xml:space="preserve"> N*</w:t>
      </w:r>
      <w:r>
        <w:t>。</w:t>
      </w:r>
      <w:r>
        <w:rPr>
          <w:lang w:eastAsia="zh-CN"/>
        </w:rPr>
        <w:t>但交叉点只在数据真实支持时报告：若</w:t>
      </w:r>
      <w:r>
        <w:rPr>
          <w:lang w:eastAsia="zh-CN"/>
        </w:rPr>
        <w:t xml:space="preserve"> V1 </w:t>
      </w:r>
      <w:r>
        <w:rPr>
          <w:lang w:eastAsia="zh-CN"/>
        </w:rPr>
        <w:t>在所有规模下都比人工低成本，或</w:t>
      </w:r>
      <w:r>
        <w:rPr>
          <w:lang w:eastAsia="zh-CN"/>
        </w:rPr>
        <w:t xml:space="preserve"> V2 </w:t>
      </w:r>
      <w:r>
        <w:rPr>
          <w:lang w:eastAsia="zh-CN"/>
        </w:rPr>
        <w:t>始终比</w:t>
      </w:r>
      <w:r>
        <w:rPr>
          <w:lang w:eastAsia="zh-CN"/>
        </w:rPr>
        <w:t xml:space="preserve"> V1 </w:t>
      </w:r>
      <w:r>
        <w:rPr>
          <w:lang w:eastAsia="zh-CN"/>
        </w:rPr>
        <w:t>多出固定推理开销，</w:t>
      </w:r>
      <w:proofErr w:type="gramStart"/>
      <w:r>
        <w:rPr>
          <w:lang w:eastAsia="zh-CN"/>
        </w:rPr>
        <w:t>则不应为形成</w:t>
      </w:r>
      <w:r>
        <w:rPr>
          <w:lang w:eastAsia="zh-CN"/>
        </w:rPr>
        <w:t>“</w:t>
      </w:r>
      <w:r>
        <w:rPr>
          <w:lang w:eastAsia="zh-CN"/>
        </w:rPr>
        <w:t>阈值故事</w:t>
      </w:r>
      <w:r>
        <w:rPr>
          <w:lang w:eastAsia="zh-CN"/>
        </w:rPr>
        <w:t>”</w:t>
      </w:r>
      <w:r>
        <w:rPr>
          <w:lang w:eastAsia="zh-CN"/>
        </w:rPr>
        <w:t>而强行计算不存在的</w:t>
      </w:r>
      <w:proofErr w:type="gramEnd"/>
      <w:r>
        <w:rPr>
          <w:lang w:eastAsia="zh-CN"/>
        </w:rPr>
        <w:t xml:space="preserve"> break-even</w:t>
      </w:r>
      <w:r>
        <w:rPr>
          <w:lang w:eastAsia="zh-CN"/>
        </w:rPr>
        <w:t>。</w:t>
      </w:r>
    </w:p>
    <w:p w14:paraId="468A8704" w14:textId="77777777" w:rsidR="00376CE4" w:rsidRDefault="00BD4032">
      <w:pPr>
        <w:pStyle w:val="1"/>
        <w:spacing w:before="200" w:after="100"/>
        <w:rPr>
          <w:lang w:eastAsia="zh-CN"/>
        </w:rPr>
      </w:pPr>
      <w:r>
        <w:rPr>
          <w:rFonts w:ascii="Arial" w:eastAsia="Noto Sans CJK SC" w:hAnsi="Arial"/>
          <w:lang w:eastAsia="zh-CN"/>
        </w:rPr>
        <w:t>四、</w:t>
      </w:r>
      <w:r>
        <w:rPr>
          <w:rFonts w:ascii="Arial" w:eastAsia="Noto Sans CJK SC" w:hAnsi="Arial"/>
          <w:lang w:eastAsia="zh-CN"/>
        </w:rPr>
        <w:t xml:space="preserve">Pareto </w:t>
      </w:r>
      <w:r>
        <w:rPr>
          <w:rFonts w:ascii="Arial" w:eastAsia="Noto Sans CJK SC" w:hAnsi="Arial"/>
          <w:lang w:eastAsia="zh-CN"/>
        </w:rPr>
        <w:t>非支配判定与场景约束</w:t>
      </w:r>
    </w:p>
    <w:p w14:paraId="4B6A9020" w14:textId="77777777" w:rsidR="00376CE4" w:rsidRDefault="00BD4032">
      <w:pPr>
        <w:pStyle w:val="21"/>
        <w:spacing w:before="140" w:after="100"/>
        <w:rPr>
          <w:lang w:eastAsia="zh-CN"/>
        </w:rPr>
      </w:pPr>
      <w:r>
        <w:rPr>
          <w:rFonts w:ascii="Arial" w:eastAsia="Noto Sans CJK SC" w:hAnsi="Arial"/>
          <w:lang w:eastAsia="zh-CN"/>
        </w:rPr>
        <w:t xml:space="preserve">4.1 </w:t>
      </w:r>
      <w:r>
        <w:rPr>
          <w:rFonts w:ascii="Arial" w:eastAsia="Noto Sans CJK SC" w:hAnsi="Arial"/>
          <w:lang w:eastAsia="zh-CN"/>
        </w:rPr>
        <w:t>非支配关系</w:t>
      </w:r>
    </w:p>
    <w:p w14:paraId="5227F623" w14:textId="77777777" w:rsidR="00376CE4" w:rsidRDefault="00BD4032">
      <w:pPr>
        <w:ind w:firstLine="420"/>
        <w:jc w:val="both"/>
        <w:rPr>
          <w:lang w:eastAsia="zh-CN"/>
        </w:rPr>
      </w:pPr>
      <w:r>
        <w:rPr>
          <w:lang w:eastAsia="zh-CN"/>
        </w:rPr>
        <w:t>对于同一规模</w:t>
      </w:r>
      <w:r>
        <w:rPr>
          <w:lang w:eastAsia="zh-CN"/>
        </w:rPr>
        <w:t xml:space="preserve"> N </w:t>
      </w:r>
      <w:r>
        <w:rPr>
          <w:lang w:eastAsia="zh-CN"/>
        </w:rPr>
        <w:t>下的两个候选流程</w:t>
      </w:r>
      <w:r>
        <w:rPr>
          <w:lang w:eastAsia="zh-CN"/>
        </w:rPr>
        <w:t xml:space="preserve"> a </w:t>
      </w:r>
      <w:r>
        <w:rPr>
          <w:lang w:eastAsia="zh-CN"/>
        </w:rPr>
        <w:t>和</w:t>
      </w:r>
      <w:r>
        <w:rPr>
          <w:lang w:eastAsia="zh-CN"/>
        </w:rPr>
        <w:t xml:space="preserve"> b</w:t>
      </w:r>
      <w:r>
        <w:rPr>
          <w:lang w:eastAsia="zh-CN"/>
        </w:rPr>
        <w:t>，若</w:t>
      </w:r>
      <w:r>
        <w:rPr>
          <w:lang w:eastAsia="zh-CN"/>
        </w:rPr>
        <w:t xml:space="preserve"> a </w:t>
      </w:r>
      <w:r>
        <w:rPr>
          <w:lang w:eastAsia="zh-CN"/>
        </w:rPr>
        <w:t>的下游效用不低于</w:t>
      </w:r>
      <w:r>
        <w:rPr>
          <w:lang w:eastAsia="zh-CN"/>
        </w:rPr>
        <w:t xml:space="preserve"> b</w:t>
      </w:r>
      <w:r>
        <w:rPr>
          <w:lang w:eastAsia="zh-CN"/>
        </w:rPr>
        <w:t>，标签制备成本不高于</w:t>
      </w:r>
      <w:r>
        <w:rPr>
          <w:lang w:eastAsia="zh-CN"/>
        </w:rPr>
        <w:t xml:space="preserve"> b</w:t>
      </w:r>
      <w:r>
        <w:rPr>
          <w:lang w:eastAsia="zh-CN"/>
        </w:rPr>
        <w:t>，交付周期也不长于</w:t>
      </w:r>
      <w:r>
        <w:rPr>
          <w:lang w:eastAsia="zh-CN"/>
        </w:rPr>
        <w:t xml:space="preserve"> b</w:t>
      </w:r>
      <w:r>
        <w:rPr>
          <w:lang w:eastAsia="zh-CN"/>
        </w:rPr>
        <w:t>，并且至少一个维度严格更优，则可认为</w:t>
      </w:r>
      <w:r>
        <w:rPr>
          <w:lang w:eastAsia="zh-CN"/>
        </w:rPr>
        <w:t xml:space="preserve"> a </w:t>
      </w:r>
      <w:r>
        <w:rPr>
          <w:lang w:eastAsia="zh-CN"/>
        </w:rPr>
        <w:t>支配</w:t>
      </w:r>
      <w:r>
        <w:rPr>
          <w:lang w:eastAsia="zh-CN"/>
        </w:rPr>
        <w:t xml:space="preserve"> b</w:t>
      </w:r>
      <w:r>
        <w:rPr>
          <w:lang w:eastAsia="zh-CN"/>
        </w:rPr>
        <w:t>。所有未被其他方案支配的流程构成该规模下的</w:t>
      </w:r>
      <w:r>
        <w:rPr>
          <w:lang w:eastAsia="zh-CN"/>
        </w:rPr>
        <w:t xml:space="preserve"> Pareto </w:t>
      </w:r>
      <w:r>
        <w:rPr>
          <w:lang w:eastAsia="zh-CN"/>
        </w:rPr>
        <w:t>非支配候选集</w:t>
      </w:r>
      <w:r>
        <w:rPr>
          <w:lang w:eastAsia="zh-CN"/>
        </w:rPr>
        <w:t xml:space="preserve"> P(N)</w:t>
      </w:r>
      <w:r>
        <w:rPr>
          <w:lang w:eastAsia="zh-CN"/>
        </w:rPr>
        <w:t>。由于本研究候选方案数量有限，可以直接逐项比较，无需引入额外优化算法。</w:t>
      </w:r>
    </w:p>
    <w:p w14:paraId="621A86BD" w14:textId="77777777" w:rsidR="00376CE4" w:rsidRDefault="00BD4032">
      <w:pPr>
        <w:spacing w:before="80" w:after="120"/>
        <w:jc w:val="center"/>
      </w:pPr>
      <w:r>
        <w:rPr>
          <w:rFonts w:ascii="Cambria Math" w:hAnsi="Cambria Math"/>
        </w:rPr>
        <w:t>若</w:t>
      </w:r>
      <w:r>
        <w:rPr>
          <w:rFonts w:ascii="Cambria Math" w:hAnsi="Cambria Math"/>
        </w:rPr>
        <w:t xml:space="preserve"> </w:t>
      </w:r>
      <w:proofErr w:type="spellStart"/>
      <w:r>
        <w:rPr>
          <w:rFonts w:ascii="Cambria Math" w:hAnsi="Cambria Math"/>
        </w:rPr>
        <w:t>Q_a</w:t>
      </w:r>
      <w:proofErr w:type="spellEnd"/>
      <w:r>
        <w:rPr>
          <w:rFonts w:ascii="Cambria Math" w:hAnsi="Cambria Math"/>
        </w:rPr>
        <w:t xml:space="preserve"> ≥ </w:t>
      </w:r>
      <w:proofErr w:type="spellStart"/>
      <w:r>
        <w:rPr>
          <w:rFonts w:ascii="Cambria Math" w:hAnsi="Cambria Math"/>
        </w:rPr>
        <w:t>Q_b</w:t>
      </w:r>
      <w:r>
        <w:rPr>
          <w:rFonts w:ascii="Cambria Math" w:hAnsi="Cambria Math"/>
        </w:rPr>
        <w:t>，</w:t>
      </w:r>
      <w:r>
        <w:rPr>
          <w:rFonts w:ascii="Cambria Math" w:hAnsi="Cambria Math"/>
        </w:rPr>
        <w:t>C_a</w:t>
      </w:r>
      <w:proofErr w:type="spellEnd"/>
      <w:r>
        <w:rPr>
          <w:rFonts w:ascii="Cambria Math" w:hAnsi="Cambria Math"/>
        </w:rPr>
        <w:t>(N) ≤ C_b(N)</w:t>
      </w:r>
      <w:r>
        <w:rPr>
          <w:rFonts w:ascii="Cambria Math" w:hAnsi="Cambria Math"/>
        </w:rPr>
        <w:t>，</w:t>
      </w:r>
      <w:r>
        <w:rPr>
          <w:rFonts w:ascii="Cambria Math" w:hAnsi="Cambria Math"/>
        </w:rPr>
        <w:t>T_a(N) ≤ T_b(N)</w:t>
      </w:r>
      <w:r>
        <w:rPr>
          <w:rFonts w:ascii="Cambria Math" w:hAnsi="Cambria Math"/>
        </w:rPr>
        <w:t>，且至少一项严格成立，则</w:t>
      </w:r>
      <w:r>
        <w:rPr>
          <w:rFonts w:ascii="Cambria Math" w:hAnsi="Cambria Math"/>
        </w:rPr>
        <w:t xml:space="preserve"> a </w:t>
      </w:r>
      <w:r>
        <w:rPr>
          <w:rFonts w:ascii="Cambria Math" w:hAnsi="Cambria Math"/>
        </w:rPr>
        <w:t>支配</w:t>
      </w:r>
      <w:r>
        <w:rPr>
          <w:rFonts w:ascii="Cambria Math" w:hAnsi="Cambria Math"/>
        </w:rPr>
        <w:t xml:space="preserve"> b</w:t>
      </w:r>
      <w:r>
        <w:rPr>
          <w:rFonts w:ascii="Cambria Math" w:hAnsi="Cambria Math"/>
        </w:rPr>
        <w:t>。</w:t>
      </w:r>
    </w:p>
    <w:p w14:paraId="2EAFDB53" w14:textId="77777777" w:rsidR="00376CE4" w:rsidRDefault="00BD4032">
      <w:pPr>
        <w:ind w:firstLine="420"/>
        <w:jc w:val="both"/>
        <w:rPr>
          <w:lang w:eastAsia="zh-CN"/>
        </w:rPr>
      </w:pPr>
      <w:r>
        <w:rPr>
          <w:lang w:eastAsia="zh-CN"/>
        </w:rPr>
        <w:t>这一规则与现有</w:t>
      </w:r>
      <w:r>
        <w:rPr>
          <w:lang w:eastAsia="zh-CN"/>
        </w:rPr>
        <w:t xml:space="preserve"> V2 </w:t>
      </w:r>
      <w:r>
        <w:rPr>
          <w:lang w:eastAsia="zh-CN"/>
        </w:rPr>
        <w:t>设计形成直接闭环。设</w:t>
      </w:r>
      <w:r>
        <w:rPr>
          <w:lang w:eastAsia="zh-CN"/>
        </w:rPr>
        <w:t xml:space="preserve"> </w:t>
      </w:r>
      <w:r>
        <w:t>Δ</w:t>
      </w:r>
      <w:r>
        <w:rPr>
          <w:lang w:eastAsia="zh-CN"/>
        </w:rPr>
        <w:t>Q = Q_V2 - Q_V1</w:t>
      </w:r>
      <w:r>
        <w:rPr>
          <w:lang w:eastAsia="zh-CN"/>
        </w:rPr>
        <w:t>。若</w:t>
      </w:r>
      <w:r>
        <w:rPr>
          <w:lang w:eastAsia="zh-CN"/>
        </w:rPr>
        <w:t xml:space="preserve"> Verifier </w:t>
      </w:r>
      <w:r>
        <w:rPr>
          <w:lang w:eastAsia="zh-CN"/>
        </w:rPr>
        <w:t>的增益在多随机种子或隔离测试中消失，即</w:t>
      </w:r>
      <w:r>
        <w:rPr>
          <w:lang w:eastAsia="zh-CN"/>
        </w:rPr>
        <w:t xml:space="preserve"> </w:t>
      </w:r>
      <w:r>
        <w:t>Δ</w:t>
      </w:r>
      <w:r>
        <w:rPr>
          <w:lang w:eastAsia="zh-CN"/>
        </w:rPr>
        <w:t xml:space="preserve">Q </w:t>
      </w:r>
      <w:r>
        <w:rPr>
          <w:lang w:eastAsia="zh-CN"/>
        </w:rPr>
        <w:t>小于预设的最小实际差异阈值，而</w:t>
      </w:r>
      <w:r>
        <w:rPr>
          <w:lang w:eastAsia="zh-CN"/>
        </w:rPr>
        <w:t xml:space="preserve"> V2 </w:t>
      </w:r>
      <w:r>
        <w:rPr>
          <w:lang w:eastAsia="zh-CN"/>
        </w:rPr>
        <w:t>同时增加</w:t>
      </w:r>
      <w:r>
        <w:rPr>
          <w:lang w:eastAsia="zh-CN"/>
        </w:rPr>
        <w:t xml:space="preserve"> GPU </w:t>
      </w:r>
      <w:r>
        <w:rPr>
          <w:lang w:eastAsia="zh-CN"/>
        </w:rPr>
        <w:t>机时与流程复杂度，则</w:t>
      </w:r>
      <w:r>
        <w:rPr>
          <w:lang w:eastAsia="zh-CN"/>
        </w:rPr>
        <w:t xml:space="preserve"> V1 </w:t>
      </w:r>
      <w:r>
        <w:rPr>
          <w:lang w:eastAsia="zh-CN"/>
        </w:rPr>
        <w:t>在质量基本不损失的情况下具有更低成本和更短时延，</w:t>
      </w:r>
      <w:r>
        <w:rPr>
          <w:lang w:eastAsia="zh-CN"/>
        </w:rPr>
        <w:t xml:space="preserve">V2 </w:t>
      </w:r>
      <w:r>
        <w:rPr>
          <w:lang w:eastAsia="zh-CN"/>
        </w:rPr>
        <w:t>将失去</w:t>
      </w:r>
      <w:r>
        <w:rPr>
          <w:lang w:eastAsia="zh-CN"/>
        </w:rPr>
        <w:t xml:space="preserve"> Pareto </w:t>
      </w:r>
      <w:r>
        <w:rPr>
          <w:lang w:eastAsia="zh-CN"/>
        </w:rPr>
        <w:t>合理性并回退至</w:t>
      </w:r>
      <w:r>
        <w:rPr>
          <w:lang w:eastAsia="zh-CN"/>
        </w:rPr>
        <w:t xml:space="preserve"> V1</w:t>
      </w:r>
      <w:r>
        <w:rPr>
          <w:lang w:eastAsia="zh-CN"/>
        </w:rPr>
        <w:t>。</w:t>
      </w:r>
    </w:p>
    <w:p w14:paraId="2B7DD0C0" w14:textId="77777777" w:rsidR="00376CE4" w:rsidRDefault="00BD4032">
      <w:pPr>
        <w:pStyle w:val="21"/>
        <w:spacing w:before="140" w:after="100"/>
        <w:rPr>
          <w:lang w:eastAsia="zh-CN"/>
        </w:rPr>
      </w:pPr>
      <w:r>
        <w:rPr>
          <w:rFonts w:ascii="Arial" w:eastAsia="Noto Sans CJK SC" w:hAnsi="Arial"/>
          <w:lang w:eastAsia="zh-CN"/>
        </w:rPr>
        <w:t xml:space="preserve">4.2 </w:t>
      </w:r>
      <w:r>
        <w:rPr>
          <w:rFonts w:ascii="Arial" w:eastAsia="Noto Sans CJK SC" w:hAnsi="Arial"/>
          <w:lang w:eastAsia="zh-CN"/>
        </w:rPr>
        <w:t>先约束、后选型</w:t>
      </w:r>
    </w:p>
    <w:p w14:paraId="14BE282D" w14:textId="77777777" w:rsidR="00376CE4" w:rsidRDefault="00BD4032">
      <w:pPr>
        <w:ind w:firstLine="420"/>
        <w:jc w:val="both"/>
        <w:rPr>
          <w:lang w:eastAsia="zh-CN"/>
        </w:rPr>
      </w:pPr>
      <w:r>
        <w:rPr>
          <w:lang w:eastAsia="zh-CN"/>
        </w:rPr>
        <w:t xml:space="preserve">Pareto </w:t>
      </w:r>
      <w:r>
        <w:rPr>
          <w:lang w:eastAsia="zh-CN"/>
        </w:rPr>
        <w:t>不应直接给出唯一</w:t>
      </w:r>
      <w:r>
        <w:rPr>
          <w:lang w:eastAsia="zh-CN"/>
        </w:rPr>
        <w:t>“</w:t>
      </w:r>
      <w:r>
        <w:rPr>
          <w:lang w:eastAsia="zh-CN"/>
        </w:rPr>
        <w:t>最优方案</w:t>
      </w:r>
      <w:r>
        <w:rPr>
          <w:lang w:eastAsia="zh-CN"/>
        </w:rPr>
        <w:t>”</w:t>
      </w:r>
      <w:r>
        <w:rPr>
          <w:lang w:eastAsia="zh-CN"/>
        </w:rPr>
        <w:t>。本研究更适合先形成非支配候选集，再根据场景设置硬约束。这样可以避免使用固定权重总分掩盖安全质量指标与成本指标之间的非补偿关系。例如，</w:t>
      </w:r>
      <w:r>
        <w:rPr>
          <w:lang w:eastAsia="zh-CN"/>
        </w:rPr>
        <w:lastRenderedPageBreak/>
        <w:t>一个方案即使便宜很多，只要</w:t>
      </w:r>
      <w:r>
        <w:rPr>
          <w:lang w:eastAsia="zh-CN"/>
        </w:rPr>
        <w:t xml:space="preserve"> Recall </w:t>
      </w:r>
      <w:r>
        <w:rPr>
          <w:lang w:eastAsia="zh-CN"/>
        </w:rPr>
        <w:t>低于高可靠场景的最低门槛，就不应通过</w:t>
      </w:r>
      <w:r>
        <w:rPr>
          <w:lang w:eastAsia="zh-CN"/>
        </w:rPr>
        <w:t>“</w:t>
      </w:r>
      <w:r>
        <w:rPr>
          <w:lang w:eastAsia="zh-CN"/>
        </w:rPr>
        <w:t>成本优势</w:t>
      </w:r>
      <w:r>
        <w:rPr>
          <w:lang w:eastAsia="zh-CN"/>
        </w:rPr>
        <w:t>”</w:t>
      </w:r>
      <w:r>
        <w:rPr>
          <w:lang w:eastAsia="zh-CN"/>
        </w:rPr>
        <w:t>补偿其漏检风险。</w:t>
      </w:r>
    </w:p>
    <w:p w14:paraId="5E17F254" w14:textId="77777777" w:rsidR="00376CE4" w:rsidRDefault="00BD4032">
      <w:pPr>
        <w:ind w:firstLine="420"/>
        <w:jc w:val="both"/>
        <w:rPr>
          <w:lang w:eastAsia="zh-CN"/>
        </w:rPr>
      </w:pPr>
      <w:r>
        <w:rPr>
          <w:lang w:eastAsia="zh-CN"/>
        </w:rPr>
        <w:t>场景约束可以保持三类，不需要继续扩展：高可靠</w:t>
      </w:r>
      <w:r>
        <w:rPr>
          <w:lang w:eastAsia="zh-CN"/>
        </w:rPr>
        <w:t>/</w:t>
      </w:r>
      <w:r>
        <w:rPr>
          <w:lang w:eastAsia="zh-CN"/>
        </w:rPr>
        <w:t>合规场景强调质量和</w:t>
      </w:r>
      <w:r>
        <w:rPr>
          <w:lang w:eastAsia="zh-CN"/>
        </w:rPr>
        <w:t xml:space="preserve"> Recall </w:t>
      </w:r>
      <w:r>
        <w:rPr>
          <w:lang w:eastAsia="zh-CN"/>
        </w:rPr>
        <w:t>门槛；敏捷迭代场景强调可接受质量条件下的交付时限与成本；海量生产场景强调在质量底线满足后控制单位成本和人工负担。三类场景均从</w:t>
      </w:r>
      <w:r>
        <w:rPr>
          <w:lang w:eastAsia="zh-CN"/>
        </w:rPr>
        <w:t xml:space="preserve"> P(N) </w:t>
      </w:r>
      <w:r>
        <w:rPr>
          <w:lang w:eastAsia="zh-CN"/>
        </w:rPr>
        <w:t>中选取满足约束的方案，而不是为每个场景预先规定固定权重。</w:t>
      </w:r>
    </w:p>
    <w:p w14:paraId="57B87241" w14:textId="77777777" w:rsidR="00376CE4" w:rsidRDefault="00BD4032">
      <w:pPr>
        <w:pStyle w:val="1"/>
        <w:spacing w:before="200" w:after="100"/>
        <w:rPr>
          <w:lang w:eastAsia="zh-CN"/>
        </w:rPr>
      </w:pPr>
      <w:r>
        <w:rPr>
          <w:rFonts w:ascii="Arial" w:eastAsia="Noto Sans CJK SC" w:hAnsi="Arial"/>
          <w:lang w:eastAsia="zh-CN"/>
        </w:rPr>
        <w:t>五、建议采用的跨尺度情景选型表</w:t>
      </w:r>
    </w:p>
    <w:p w14:paraId="5A041D79" w14:textId="77777777" w:rsidR="00376CE4" w:rsidRDefault="00BD4032">
      <w:pPr>
        <w:ind w:firstLine="420"/>
        <w:jc w:val="both"/>
        <w:rPr>
          <w:rFonts w:eastAsia="宋体"/>
          <w:lang w:eastAsia="zh-CN"/>
        </w:rPr>
      </w:pPr>
      <w:r>
        <w:rPr>
          <w:lang w:eastAsia="zh-CN"/>
        </w:rPr>
        <w:t>下表用于替换现有</w:t>
      </w:r>
      <w:r>
        <w:rPr>
          <w:lang w:eastAsia="zh-CN"/>
        </w:rPr>
        <w:t>“</w:t>
      </w:r>
      <w:r>
        <w:rPr>
          <w:lang w:eastAsia="zh-CN"/>
        </w:rPr>
        <w:t>按规模直接指定方案</w:t>
      </w:r>
      <w:r>
        <w:rPr>
          <w:lang w:eastAsia="zh-CN"/>
        </w:rPr>
        <w:t>”</w:t>
      </w:r>
      <w:r>
        <w:rPr>
          <w:lang w:eastAsia="zh-CN"/>
        </w:rPr>
        <w:t>的写法。表中结论应在正式实验完成后以实测数据回填；开题阶段保留条件式表述即可。</w:t>
      </w:r>
    </w:p>
    <w:p w14:paraId="0DF437E1" w14:textId="38ADA258" w:rsidR="00D16223" w:rsidRPr="00D16223" w:rsidRDefault="00D16223">
      <w:pPr>
        <w:ind w:firstLine="420"/>
        <w:jc w:val="both"/>
        <w:rPr>
          <w:rFonts w:eastAsia="宋体" w:hint="eastAsia"/>
          <w:lang w:eastAsia="zh-CN"/>
        </w:rPr>
      </w:pPr>
      <w:r w:rsidRPr="00D16223">
        <w:rPr>
          <w:rFonts w:eastAsia="宋体"/>
          <w:lang w:eastAsia="zh-CN"/>
        </w:rPr>
        <w:t>不同规模与应用场景下的标签流程选型设计</w:t>
      </w:r>
    </w:p>
    <w:tbl>
      <w:tblPr>
        <w:tblW w:w="8480" w:type="dxa"/>
        <w:tblInd w:w="108" w:type="dxa"/>
        <w:tblLook w:val="04A0" w:firstRow="1" w:lastRow="0" w:firstColumn="1" w:lastColumn="0" w:noHBand="0" w:noVBand="1"/>
      </w:tblPr>
      <w:tblGrid>
        <w:gridCol w:w="2510"/>
        <w:gridCol w:w="960"/>
        <w:gridCol w:w="960"/>
        <w:gridCol w:w="4050"/>
      </w:tblGrid>
      <w:tr w:rsidR="009C3B34" w:rsidRPr="009C3B34" w14:paraId="64217E8A" w14:textId="77777777" w:rsidTr="009C3B34">
        <w:trPr>
          <w:trHeight w:val="625"/>
        </w:trPr>
        <w:tc>
          <w:tcPr>
            <w:tcW w:w="2510" w:type="dxa"/>
            <w:tcBorders>
              <w:top w:val="nil"/>
              <w:left w:val="nil"/>
              <w:bottom w:val="single" w:sz="8" w:space="0" w:color="DFE2E5"/>
              <w:right w:val="single" w:sz="8" w:space="0" w:color="DFE2E5"/>
            </w:tcBorders>
            <w:shd w:val="clear" w:color="auto" w:fill="FFFFFF"/>
            <w:vAlign w:val="center"/>
            <w:hideMark/>
          </w:tcPr>
          <w:p w14:paraId="05B5E041" w14:textId="77777777" w:rsidR="009C3B34" w:rsidRPr="009C3B34" w:rsidRDefault="009C3B34" w:rsidP="009C3B34">
            <w:pPr>
              <w:spacing w:line="240" w:lineRule="auto"/>
              <w:jc w:val="center"/>
              <w:rPr>
                <w:rFonts w:ascii="Segoe UI" w:eastAsia="宋体" w:hAnsi="Segoe UI" w:cs="Segoe UI"/>
                <w:b/>
                <w:bCs/>
                <w:color w:val="3C3C58"/>
                <w:sz w:val="21"/>
                <w:szCs w:val="21"/>
                <w:lang w:eastAsia="zh-CN"/>
              </w:rPr>
            </w:pPr>
            <w:r w:rsidRPr="009C3B34">
              <w:rPr>
                <w:rFonts w:ascii="Segoe UI" w:eastAsia="宋体" w:hAnsi="Segoe UI" w:cs="Segoe UI"/>
                <w:b/>
                <w:bCs/>
                <w:color w:val="3C3C58"/>
                <w:sz w:val="21"/>
                <w:szCs w:val="21"/>
                <w:lang w:eastAsia="zh-CN"/>
              </w:rPr>
              <w:t>规模</w:t>
            </w:r>
            <w:r w:rsidRPr="009C3B34">
              <w:rPr>
                <w:rFonts w:ascii="Segoe UI" w:eastAsia="宋体" w:hAnsi="Segoe UI" w:cs="Segoe UI"/>
                <w:b/>
                <w:bCs/>
                <w:color w:val="3C3C58"/>
                <w:sz w:val="21"/>
                <w:szCs w:val="21"/>
                <w:lang w:eastAsia="zh-CN"/>
              </w:rPr>
              <w:t>/</w:t>
            </w:r>
            <w:r w:rsidRPr="009C3B34">
              <w:rPr>
                <w:rFonts w:ascii="Segoe UI" w:eastAsia="宋体" w:hAnsi="Segoe UI" w:cs="Segoe UI"/>
                <w:b/>
                <w:bCs/>
                <w:color w:val="3C3C58"/>
                <w:sz w:val="21"/>
                <w:szCs w:val="21"/>
                <w:lang w:eastAsia="zh-CN"/>
              </w:rPr>
              <w:t>场景</w:t>
            </w:r>
          </w:p>
        </w:tc>
        <w:tc>
          <w:tcPr>
            <w:tcW w:w="960" w:type="dxa"/>
            <w:tcBorders>
              <w:top w:val="nil"/>
              <w:left w:val="single" w:sz="8" w:space="0" w:color="DFE2E5"/>
              <w:bottom w:val="single" w:sz="8" w:space="0" w:color="DFE2E5"/>
              <w:right w:val="single" w:sz="8" w:space="0" w:color="DFE2E5"/>
            </w:tcBorders>
            <w:shd w:val="clear" w:color="auto" w:fill="FFFFFF"/>
            <w:vAlign w:val="center"/>
            <w:hideMark/>
          </w:tcPr>
          <w:p w14:paraId="2D68D908" w14:textId="77777777" w:rsidR="009C3B34" w:rsidRPr="009C3B34" w:rsidRDefault="009C3B34" w:rsidP="009C3B34">
            <w:pPr>
              <w:spacing w:line="240" w:lineRule="auto"/>
              <w:jc w:val="center"/>
              <w:rPr>
                <w:rFonts w:ascii="Segoe UI" w:eastAsia="宋体" w:hAnsi="Segoe UI" w:cs="Segoe UI"/>
                <w:b/>
                <w:bCs/>
                <w:color w:val="3C3C58"/>
                <w:sz w:val="21"/>
                <w:szCs w:val="21"/>
                <w:lang w:eastAsia="zh-CN"/>
              </w:rPr>
            </w:pPr>
            <w:r w:rsidRPr="009C3B34">
              <w:rPr>
                <w:rFonts w:ascii="Segoe UI" w:eastAsia="宋体" w:hAnsi="Segoe UI" w:cs="Segoe UI"/>
                <w:b/>
                <w:bCs/>
                <w:color w:val="3C3C58"/>
                <w:sz w:val="21"/>
                <w:szCs w:val="21"/>
                <w:lang w:eastAsia="zh-CN"/>
              </w:rPr>
              <w:t>主要约束</w:t>
            </w:r>
          </w:p>
        </w:tc>
        <w:tc>
          <w:tcPr>
            <w:tcW w:w="960" w:type="dxa"/>
            <w:tcBorders>
              <w:top w:val="nil"/>
              <w:left w:val="single" w:sz="8" w:space="0" w:color="DFE2E5"/>
              <w:bottom w:val="single" w:sz="8" w:space="0" w:color="DFE2E5"/>
              <w:right w:val="single" w:sz="8" w:space="0" w:color="DFE2E5"/>
            </w:tcBorders>
            <w:shd w:val="clear" w:color="auto" w:fill="FFFFFF"/>
            <w:vAlign w:val="center"/>
            <w:hideMark/>
          </w:tcPr>
          <w:p w14:paraId="2A5AE352" w14:textId="77777777" w:rsidR="009C3B34" w:rsidRPr="009C3B34" w:rsidRDefault="009C3B34" w:rsidP="009C3B34">
            <w:pPr>
              <w:spacing w:line="240" w:lineRule="auto"/>
              <w:jc w:val="center"/>
              <w:rPr>
                <w:rFonts w:ascii="Segoe UI" w:eastAsia="宋体" w:hAnsi="Segoe UI" w:cs="Segoe UI"/>
                <w:b/>
                <w:bCs/>
                <w:color w:val="3C3C58"/>
                <w:sz w:val="21"/>
                <w:szCs w:val="21"/>
                <w:lang w:eastAsia="zh-CN"/>
              </w:rPr>
            </w:pPr>
            <w:r w:rsidRPr="009C3B34">
              <w:rPr>
                <w:rFonts w:ascii="Segoe UI" w:eastAsia="宋体" w:hAnsi="Segoe UI" w:cs="Segoe UI"/>
                <w:b/>
                <w:bCs/>
                <w:color w:val="3C3C58"/>
                <w:sz w:val="21"/>
                <w:szCs w:val="21"/>
                <w:lang w:eastAsia="zh-CN"/>
              </w:rPr>
              <w:t>Pareto</w:t>
            </w:r>
            <w:r w:rsidRPr="009C3B34">
              <w:rPr>
                <w:rFonts w:ascii="Segoe UI" w:eastAsia="宋体" w:hAnsi="Segoe UI" w:cs="Segoe UI"/>
                <w:b/>
                <w:bCs/>
                <w:color w:val="3C3C58"/>
                <w:sz w:val="21"/>
                <w:szCs w:val="21"/>
                <w:lang w:eastAsia="zh-CN"/>
              </w:rPr>
              <w:t>比较重点</w:t>
            </w:r>
          </w:p>
        </w:tc>
        <w:tc>
          <w:tcPr>
            <w:tcW w:w="4050" w:type="dxa"/>
            <w:tcBorders>
              <w:top w:val="nil"/>
              <w:left w:val="single" w:sz="8" w:space="0" w:color="DFE2E5"/>
              <w:bottom w:val="single" w:sz="8" w:space="0" w:color="DFE2E5"/>
              <w:right w:val="nil"/>
            </w:tcBorders>
            <w:shd w:val="clear" w:color="auto" w:fill="FFFFFF"/>
            <w:vAlign w:val="center"/>
            <w:hideMark/>
          </w:tcPr>
          <w:p w14:paraId="7BCF8B57" w14:textId="77777777" w:rsidR="009C3B34" w:rsidRPr="009C3B34" w:rsidRDefault="009C3B34" w:rsidP="009C3B34">
            <w:pPr>
              <w:spacing w:line="240" w:lineRule="auto"/>
              <w:jc w:val="center"/>
              <w:rPr>
                <w:rFonts w:ascii="Segoe UI" w:eastAsia="宋体" w:hAnsi="Segoe UI" w:cs="Segoe UI"/>
                <w:b/>
                <w:bCs/>
                <w:color w:val="3C3C58"/>
                <w:sz w:val="21"/>
                <w:szCs w:val="21"/>
                <w:lang w:eastAsia="zh-CN"/>
              </w:rPr>
            </w:pPr>
            <w:r w:rsidRPr="009C3B34">
              <w:rPr>
                <w:rFonts w:ascii="Segoe UI" w:eastAsia="宋体" w:hAnsi="Segoe UI" w:cs="Segoe UI"/>
                <w:b/>
                <w:bCs/>
                <w:color w:val="3C3C58"/>
                <w:sz w:val="21"/>
                <w:szCs w:val="21"/>
                <w:lang w:eastAsia="zh-CN"/>
              </w:rPr>
              <w:t>选型规则</w:t>
            </w:r>
          </w:p>
        </w:tc>
      </w:tr>
      <w:tr w:rsidR="009C3B34" w:rsidRPr="009C3B34" w14:paraId="67A654FA" w14:textId="77777777" w:rsidTr="009C3B34">
        <w:trPr>
          <w:trHeight w:val="2045"/>
        </w:trPr>
        <w:tc>
          <w:tcPr>
            <w:tcW w:w="2510" w:type="dxa"/>
            <w:tcBorders>
              <w:top w:val="single" w:sz="8" w:space="0" w:color="DFE2E5"/>
              <w:left w:val="nil"/>
              <w:bottom w:val="single" w:sz="8" w:space="0" w:color="DFE2E5"/>
              <w:right w:val="single" w:sz="8" w:space="0" w:color="DFE2E5"/>
            </w:tcBorders>
            <w:shd w:val="clear" w:color="auto" w:fill="FFFFFF"/>
            <w:vAlign w:val="center"/>
            <w:hideMark/>
          </w:tcPr>
          <w:p w14:paraId="740070BC" w14:textId="77777777" w:rsidR="009C3B34" w:rsidRPr="009C3B34" w:rsidRDefault="009C3B34" w:rsidP="009C3B34">
            <w:pPr>
              <w:spacing w:line="240" w:lineRule="auto"/>
              <w:rPr>
                <w:rFonts w:ascii="Segoe UI" w:eastAsia="宋体" w:hAnsi="Segoe UI" w:cs="Segoe UI"/>
                <w:color w:val="3C3C58"/>
                <w:sz w:val="21"/>
                <w:szCs w:val="21"/>
                <w:lang w:eastAsia="zh-CN"/>
              </w:rPr>
            </w:pPr>
            <w:r w:rsidRPr="009C3B34">
              <w:rPr>
                <w:rFonts w:ascii="Segoe UI" w:eastAsia="宋体" w:hAnsi="Segoe UI" w:cs="Segoe UI"/>
                <w:color w:val="3C3C58"/>
                <w:sz w:val="21"/>
                <w:szCs w:val="21"/>
                <w:lang w:eastAsia="zh-CN"/>
              </w:rPr>
              <w:t xml:space="preserve">Reference / </w:t>
            </w:r>
            <w:r w:rsidRPr="009C3B34">
              <w:rPr>
                <w:rFonts w:ascii="Segoe UI" w:eastAsia="宋体" w:hAnsi="Segoe UI" w:cs="Segoe UI"/>
                <w:color w:val="3C3C58"/>
                <w:sz w:val="21"/>
                <w:szCs w:val="21"/>
                <w:lang w:eastAsia="zh-CN"/>
              </w:rPr>
              <w:t>隔离测试集</w:t>
            </w:r>
          </w:p>
        </w:tc>
        <w:tc>
          <w:tcPr>
            <w:tcW w:w="960" w:type="dxa"/>
            <w:tcBorders>
              <w:top w:val="single" w:sz="8" w:space="0" w:color="DFE2E5"/>
              <w:left w:val="single" w:sz="8" w:space="0" w:color="DFE2E5"/>
              <w:bottom w:val="single" w:sz="8" w:space="0" w:color="DFE2E5"/>
              <w:right w:val="single" w:sz="8" w:space="0" w:color="DFE2E5"/>
            </w:tcBorders>
            <w:shd w:val="clear" w:color="auto" w:fill="FFFFFF"/>
            <w:vAlign w:val="center"/>
            <w:hideMark/>
          </w:tcPr>
          <w:p w14:paraId="4FF1DF1F" w14:textId="77777777" w:rsidR="009C3B34" w:rsidRPr="009C3B34" w:rsidRDefault="009C3B34" w:rsidP="009C3B34">
            <w:pPr>
              <w:spacing w:line="240" w:lineRule="auto"/>
              <w:rPr>
                <w:rFonts w:ascii="Segoe UI" w:eastAsia="宋体" w:hAnsi="Segoe UI" w:cs="Segoe UI"/>
                <w:color w:val="3C3C58"/>
                <w:sz w:val="21"/>
                <w:szCs w:val="21"/>
                <w:lang w:eastAsia="zh-CN"/>
              </w:rPr>
            </w:pPr>
            <w:r w:rsidRPr="009C3B34">
              <w:rPr>
                <w:rFonts w:ascii="Segoe UI" w:eastAsia="宋体" w:hAnsi="Segoe UI" w:cs="Segoe UI"/>
                <w:color w:val="3C3C58"/>
                <w:sz w:val="21"/>
                <w:szCs w:val="21"/>
                <w:lang w:eastAsia="zh-CN"/>
              </w:rPr>
              <w:t>评价基准独立、标签质量优先</w:t>
            </w:r>
          </w:p>
        </w:tc>
        <w:tc>
          <w:tcPr>
            <w:tcW w:w="960" w:type="dxa"/>
            <w:tcBorders>
              <w:top w:val="single" w:sz="8" w:space="0" w:color="DFE2E5"/>
              <w:left w:val="single" w:sz="8" w:space="0" w:color="DFE2E5"/>
              <w:bottom w:val="single" w:sz="8" w:space="0" w:color="DFE2E5"/>
              <w:right w:val="single" w:sz="8" w:space="0" w:color="DFE2E5"/>
            </w:tcBorders>
            <w:shd w:val="clear" w:color="auto" w:fill="FFFFFF"/>
            <w:vAlign w:val="center"/>
            <w:hideMark/>
          </w:tcPr>
          <w:p w14:paraId="0D0987CC" w14:textId="77777777" w:rsidR="009C3B34" w:rsidRPr="009C3B34" w:rsidRDefault="009C3B34" w:rsidP="009C3B34">
            <w:pPr>
              <w:spacing w:line="240" w:lineRule="auto"/>
              <w:rPr>
                <w:rFonts w:ascii="Segoe UI" w:eastAsia="宋体" w:hAnsi="Segoe UI" w:cs="Segoe UI"/>
                <w:color w:val="3C3C58"/>
                <w:sz w:val="21"/>
                <w:szCs w:val="21"/>
                <w:lang w:eastAsia="zh-CN"/>
              </w:rPr>
            </w:pPr>
            <w:r w:rsidRPr="009C3B34">
              <w:rPr>
                <w:rFonts w:ascii="Segoe UI" w:eastAsia="宋体" w:hAnsi="Segoe UI" w:cs="Segoe UI"/>
                <w:color w:val="3C3C58"/>
                <w:sz w:val="21"/>
                <w:szCs w:val="21"/>
                <w:lang w:eastAsia="zh-CN"/>
              </w:rPr>
              <w:t>不参与生产流程</w:t>
            </w:r>
            <w:r w:rsidRPr="009C3B34">
              <w:rPr>
                <w:rFonts w:ascii="Segoe UI" w:eastAsia="宋体" w:hAnsi="Segoe UI" w:cs="Segoe UI"/>
                <w:color w:val="3C3C58"/>
                <w:sz w:val="21"/>
                <w:szCs w:val="21"/>
                <w:lang w:eastAsia="zh-CN"/>
              </w:rPr>
              <w:t xml:space="preserve"> Pareto </w:t>
            </w:r>
            <w:r w:rsidRPr="009C3B34">
              <w:rPr>
                <w:rFonts w:ascii="Segoe UI" w:eastAsia="宋体" w:hAnsi="Segoe UI" w:cs="Segoe UI"/>
                <w:color w:val="3C3C58"/>
                <w:sz w:val="21"/>
                <w:szCs w:val="21"/>
                <w:lang w:eastAsia="zh-CN"/>
              </w:rPr>
              <w:t>比较</w:t>
            </w:r>
          </w:p>
        </w:tc>
        <w:tc>
          <w:tcPr>
            <w:tcW w:w="4050" w:type="dxa"/>
            <w:tcBorders>
              <w:top w:val="single" w:sz="8" w:space="0" w:color="DFE2E5"/>
              <w:left w:val="single" w:sz="8" w:space="0" w:color="DFE2E5"/>
              <w:bottom w:val="single" w:sz="8" w:space="0" w:color="DFE2E5"/>
              <w:right w:val="nil"/>
            </w:tcBorders>
            <w:shd w:val="clear" w:color="auto" w:fill="FFFFFF"/>
            <w:vAlign w:val="center"/>
            <w:hideMark/>
          </w:tcPr>
          <w:p w14:paraId="41AB674A" w14:textId="77777777" w:rsidR="009C3B34" w:rsidRPr="009C3B34" w:rsidRDefault="009C3B34" w:rsidP="009C3B34">
            <w:pPr>
              <w:spacing w:line="240" w:lineRule="auto"/>
              <w:rPr>
                <w:rFonts w:ascii="Segoe UI" w:eastAsia="宋体" w:hAnsi="Segoe UI" w:cs="Segoe UI"/>
                <w:color w:val="3C3C58"/>
                <w:sz w:val="21"/>
                <w:szCs w:val="21"/>
                <w:lang w:eastAsia="zh-CN"/>
              </w:rPr>
            </w:pPr>
            <w:r w:rsidRPr="009C3B34">
              <w:rPr>
                <w:rFonts w:ascii="Segoe UI" w:eastAsia="宋体" w:hAnsi="Segoe UI" w:cs="Segoe UI"/>
                <w:color w:val="3C3C58"/>
                <w:sz w:val="21"/>
                <w:szCs w:val="21"/>
                <w:lang w:eastAsia="zh-CN"/>
              </w:rPr>
              <w:t>采用人工精细标注与复核，作为</w:t>
            </w:r>
            <w:r w:rsidRPr="009C3B34">
              <w:rPr>
                <w:rFonts w:ascii="Segoe UI" w:eastAsia="宋体" w:hAnsi="Segoe UI" w:cs="Segoe UI"/>
                <w:color w:val="3C3C58"/>
                <w:sz w:val="21"/>
                <w:szCs w:val="21"/>
                <w:lang w:eastAsia="zh-CN"/>
              </w:rPr>
              <w:t xml:space="preserve"> V1</w:t>
            </w:r>
            <w:r w:rsidRPr="009C3B34">
              <w:rPr>
                <w:rFonts w:ascii="Segoe UI" w:eastAsia="宋体" w:hAnsi="Segoe UI" w:cs="Segoe UI"/>
                <w:color w:val="3C3C58"/>
                <w:sz w:val="21"/>
                <w:szCs w:val="21"/>
                <w:lang w:eastAsia="zh-CN"/>
              </w:rPr>
              <w:t>、</w:t>
            </w:r>
            <w:r w:rsidRPr="009C3B34">
              <w:rPr>
                <w:rFonts w:ascii="Segoe UI" w:eastAsia="宋体" w:hAnsi="Segoe UI" w:cs="Segoe UI"/>
                <w:color w:val="3C3C58"/>
                <w:sz w:val="21"/>
                <w:szCs w:val="21"/>
                <w:lang w:eastAsia="zh-CN"/>
              </w:rPr>
              <w:t xml:space="preserve">V2 </w:t>
            </w:r>
            <w:r w:rsidRPr="009C3B34">
              <w:rPr>
                <w:rFonts w:ascii="Segoe UI" w:eastAsia="宋体" w:hAnsi="Segoe UI" w:cs="Segoe UI"/>
                <w:color w:val="3C3C58"/>
                <w:sz w:val="21"/>
                <w:szCs w:val="21"/>
                <w:lang w:eastAsia="zh-CN"/>
              </w:rPr>
              <w:t>效用评价的可信基准</w:t>
            </w:r>
          </w:p>
        </w:tc>
      </w:tr>
      <w:tr w:rsidR="009C3B34" w:rsidRPr="009C3B34" w14:paraId="48CB9FBC" w14:textId="77777777" w:rsidTr="009C3B34">
        <w:trPr>
          <w:trHeight w:val="1095"/>
        </w:trPr>
        <w:tc>
          <w:tcPr>
            <w:tcW w:w="2510" w:type="dxa"/>
            <w:tcBorders>
              <w:top w:val="single" w:sz="8" w:space="0" w:color="DFE2E5"/>
              <w:left w:val="nil"/>
              <w:bottom w:val="single" w:sz="8" w:space="0" w:color="DFE2E5"/>
              <w:right w:val="single" w:sz="8" w:space="0" w:color="DFE2E5"/>
            </w:tcBorders>
            <w:shd w:val="clear" w:color="auto" w:fill="F6F8FA"/>
            <w:vAlign w:val="center"/>
            <w:hideMark/>
          </w:tcPr>
          <w:p w14:paraId="7316E584" w14:textId="77777777" w:rsidR="009C3B34" w:rsidRPr="009C3B34" w:rsidRDefault="009C3B34" w:rsidP="009C3B34">
            <w:pPr>
              <w:spacing w:line="240" w:lineRule="auto"/>
              <w:rPr>
                <w:rFonts w:eastAsia="宋体" w:cs="Times New Roman"/>
                <w:color w:val="3C3C58"/>
                <w:sz w:val="29"/>
                <w:szCs w:val="29"/>
                <w:lang w:eastAsia="zh-CN"/>
              </w:rPr>
            </w:pPr>
            <w:r w:rsidRPr="009C3B34">
              <w:rPr>
                <w:rFonts w:eastAsia="宋体" w:cs="Times New Roman"/>
                <w:color w:val="3C3C58"/>
                <w:sz w:val="29"/>
                <w:szCs w:val="29"/>
                <w:lang w:eastAsia="zh-CN"/>
              </w:rPr>
              <w:t>N≈1k</w:t>
            </w:r>
            <w:r w:rsidRPr="009C3B34">
              <w:rPr>
                <w:rFonts w:ascii="KaTeX_Math" w:eastAsia="宋体" w:hAnsi="KaTeX_Math" w:cs="Times New Roman"/>
                <w:i/>
                <w:iCs/>
                <w:color w:val="3C3C58"/>
                <w:sz w:val="29"/>
                <w:szCs w:val="29"/>
                <w:lang w:eastAsia="zh-CN"/>
              </w:rPr>
              <w:t>N</w:t>
            </w:r>
            <w:r w:rsidRPr="009C3B34">
              <w:rPr>
                <w:rFonts w:eastAsia="宋体" w:cs="Times New Roman"/>
                <w:color w:val="3C3C58"/>
                <w:sz w:val="29"/>
                <w:szCs w:val="29"/>
                <w:lang w:eastAsia="zh-CN"/>
              </w:rPr>
              <w:t>≈1</w:t>
            </w:r>
            <w:r w:rsidRPr="009C3B34">
              <w:rPr>
                <w:rFonts w:ascii="KaTeX_Math" w:eastAsia="宋体" w:hAnsi="KaTeX_Math" w:cs="Times New Roman"/>
                <w:i/>
                <w:iCs/>
                <w:color w:val="3C3C58"/>
                <w:sz w:val="29"/>
                <w:szCs w:val="29"/>
                <w:lang w:eastAsia="zh-CN"/>
              </w:rPr>
              <w:t>k</w:t>
            </w:r>
            <w:r w:rsidRPr="009C3B34">
              <w:rPr>
                <w:rFonts w:ascii="Segoe UI" w:eastAsia="宋体" w:hAnsi="Segoe UI" w:cs="Segoe UI"/>
                <w:color w:val="3C3C58"/>
                <w:sz w:val="21"/>
                <w:szCs w:val="21"/>
                <w:lang w:eastAsia="zh-CN"/>
              </w:rPr>
              <w:t xml:space="preserve"> </w:t>
            </w:r>
            <w:r w:rsidRPr="009C3B34">
              <w:rPr>
                <w:rFonts w:ascii="Segoe UI" w:eastAsia="宋体" w:hAnsi="Segoe UI" w:cs="Segoe UI"/>
                <w:color w:val="3C3C58"/>
                <w:sz w:val="21"/>
                <w:szCs w:val="21"/>
                <w:lang w:eastAsia="zh-CN"/>
              </w:rPr>
              <w:t>轻量迭代</w:t>
            </w:r>
          </w:p>
        </w:tc>
        <w:tc>
          <w:tcPr>
            <w:tcW w:w="960" w:type="dxa"/>
            <w:tcBorders>
              <w:top w:val="single" w:sz="8" w:space="0" w:color="DFE2E5"/>
              <w:left w:val="single" w:sz="8" w:space="0" w:color="DFE2E5"/>
              <w:bottom w:val="single" w:sz="8" w:space="0" w:color="DFE2E5"/>
              <w:right w:val="single" w:sz="8" w:space="0" w:color="DFE2E5"/>
            </w:tcBorders>
            <w:shd w:val="clear" w:color="auto" w:fill="F6F8FA"/>
            <w:vAlign w:val="center"/>
            <w:hideMark/>
          </w:tcPr>
          <w:p w14:paraId="506FEBF8" w14:textId="77777777" w:rsidR="009C3B34" w:rsidRPr="009C3B34" w:rsidRDefault="009C3B34" w:rsidP="009C3B34">
            <w:pPr>
              <w:spacing w:line="240" w:lineRule="auto"/>
              <w:rPr>
                <w:rFonts w:ascii="Segoe UI" w:eastAsia="宋体" w:hAnsi="Segoe UI" w:cs="Segoe UI"/>
                <w:color w:val="3C3C58"/>
                <w:sz w:val="21"/>
                <w:szCs w:val="21"/>
                <w:lang w:eastAsia="zh-CN"/>
              </w:rPr>
            </w:pPr>
            <w:r w:rsidRPr="009C3B34">
              <w:rPr>
                <w:rFonts w:ascii="Segoe UI" w:eastAsia="宋体" w:hAnsi="Segoe UI" w:cs="Segoe UI"/>
                <w:color w:val="3C3C58"/>
                <w:sz w:val="21"/>
                <w:szCs w:val="21"/>
                <w:lang w:eastAsia="zh-CN"/>
              </w:rPr>
              <w:t>达到基本质量要求，交付周期较短</w:t>
            </w:r>
          </w:p>
        </w:tc>
        <w:tc>
          <w:tcPr>
            <w:tcW w:w="960" w:type="dxa"/>
            <w:tcBorders>
              <w:top w:val="single" w:sz="8" w:space="0" w:color="DFE2E5"/>
              <w:left w:val="single" w:sz="8" w:space="0" w:color="DFE2E5"/>
              <w:bottom w:val="single" w:sz="8" w:space="0" w:color="DFE2E5"/>
              <w:right w:val="single" w:sz="8" w:space="0" w:color="DFE2E5"/>
            </w:tcBorders>
            <w:shd w:val="clear" w:color="auto" w:fill="F6F8FA"/>
            <w:vAlign w:val="center"/>
            <w:hideMark/>
          </w:tcPr>
          <w:p w14:paraId="70BC5C09" w14:textId="77777777" w:rsidR="009C3B34" w:rsidRPr="009C3B34" w:rsidRDefault="009C3B34" w:rsidP="009C3B34">
            <w:pPr>
              <w:spacing w:line="240" w:lineRule="auto"/>
              <w:rPr>
                <w:rFonts w:ascii="Segoe UI" w:eastAsia="宋体" w:hAnsi="Segoe UI" w:cs="Segoe UI"/>
                <w:color w:val="3C3C58"/>
                <w:sz w:val="21"/>
                <w:szCs w:val="21"/>
                <w:lang w:eastAsia="zh-CN"/>
              </w:rPr>
            </w:pPr>
            <w:r w:rsidRPr="009C3B34">
              <w:rPr>
                <w:rFonts w:ascii="Segoe UI" w:eastAsia="宋体" w:hAnsi="Segoe UI" w:cs="Segoe UI"/>
                <w:color w:val="3C3C58"/>
                <w:sz w:val="21"/>
                <w:szCs w:val="21"/>
                <w:lang w:eastAsia="zh-CN"/>
              </w:rPr>
              <w:t>固定启动投入、交付周期</w:t>
            </w:r>
          </w:p>
        </w:tc>
        <w:tc>
          <w:tcPr>
            <w:tcW w:w="4050" w:type="dxa"/>
            <w:tcBorders>
              <w:top w:val="single" w:sz="8" w:space="0" w:color="DFE2E5"/>
              <w:left w:val="single" w:sz="8" w:space="0" w:color="DFE2E5"/>
              <w:bottom w:val="single" w:sz="8" w:space="0" w:color="DFE2E5"/>
              <w:right w:val="nil"/>
            </w:tcBorders>
            <w:shd w:val="clear" w:color="auto" w:fill="F6F8FA"/>
            <w:vAlign w:val="center"/>
            <w:hideMark/>
          </w:tcPr>
          <w:p w14:paraId="0523C866" w14:textId="77777777" w:rsidR="009C3B34" w:rsidRPr="009C3B34" w:rsidRDefault="009C3B34" w:rsidP="009C3B34">
            <w:pPr>
              <w:spacing w:line="240" w:lineRule="auto"/>
              <w:rPr>
                <w:rFonts w:ascii="Segoe UI" w:eastAsia="宋体" w:hAnsi="Segoe UI" w:cs="Segoe UI"/>
                <w:color w:val="3C3C58"/>
                <w:sz w:val="21"/>
                <w:szCs w:val="21"/>
                <w:lang w:eastAsia="zh-CN"/>
              </w:rPr>
            </w:pPr>
            <w:r w:rsidRPr="009C3B34">
              <w:rPr>
                <w:rFonts w:ascii="Segoe UI" w:eastAsia="宋体" w:hAnsi="Segoe UI" w:cs="Segoe UI"/>
                <w:color w:val="3C3C58"/>
                <w:sz w:val="21"/>
                <w:szCs w:val="21"/>
                <w:lang w:eastAsia="zh-CN"/>
              </w:rPr>
              <w:t>在满足质量要求的方案中比较成本与交付效率；若</w:t>
            </w:r>
            <w:r w:rsidRPr="009C3B34">
              <w:rPr>
                <w:rFonts w:ascii="Segoe UI" w:eastAsia="宋体" w:hAnsi="Segoe UI" w:cs="Segoe UI"/>
                <w:color w:val="3C3C58"/>
                <w:sz w:val="21"/>
                <w:szCs w:val="21"/>
                <w:lang w:eastAsia="zh-CN"/>
              </w:rPr>
              <w:t xml:space="preserve"> V1 </w:t>
            </w:r>
            <w:r w:rsidRPr="009C3B34">
              <w:rPr>
                <w:rFonts w:ascii="Segoe UI" w:eastAsia="宋体" w:hAnsi="Segoe UI" w:cs="Segoe UI"/>
                <w:color w:val="3C3C58"/>
                <w:sz w:val="21"/>
                <w:szCs w:val="21"/>
                <w:lang w:eastAsia="zh-CN"/>
              </w:rPr>
              <w:t>已满足要求，则无需因增加级联节点而提高流程复杂度</w:t>
            </w:r>
          </w:p>
        </w:tc>
      </w:tr>
      <w:tr w:rsidR="009C3B34" w:rsidRPr="009C3B34" w14:paraId="11966CE7" w14:textId="77777777" w:rsidTr="009C3B34">
        <w:trPr>
          <w:trHeight w:val="1365"/>
        </w:trPr>
        <w:tc>
          <w:tcPr>
            <w:tcW w:w="2510" w:type="dxa"/>
            <w:tcBorders>
              <w:top w:val="single" w:sz="8" w:space="0" w:color="DFE2E5"/>
              <w:left w:val="nil"/>
              <w:bottom w:val="single" w:sz="8" w:space="0" w:color="DFE2E5"/>
              <w:right w:val="single" w:sz="8" w:space="0" w:color="DFE2E5"/>
            </w:tcBorders>
            <w:shd w:val="clear" w:color="auto" w:fill="FFFFFF"/>
            <w:vAlign w:val="center"/>
            <w:hideMark/>
          </w:tcPr>
          <w:p w14:paraId="46BBCF5B" w14:textId="77777777" w:rsidR="009C3B34" w:rsidRPr="009C3B34" w:rsidRDefault="009C3B34" w:rsidP="009C3B34">
            <w:pPr>
              <w:spacing w:line="240" w:lineRule="auto"/>
              <w:rPr>
                <w:rFonts w:eastAsia="宋体" w:cs="Times New Roman"/>
                <w:color w:val="3C3C58"/>
                <w:sz w:val="29"/>
                <w:szCs w:val="29"/>
                <w:lang w:eastAsia="zh-CN"/>
              </w:rPr>
            </w:pPr>
            <w:r w:rsidRPr="009C3B34">
              <w:rPr>
                <w:rFonts w:eastAsia="宋体" w:cs="Times New Roman"/>
                <w:color w:val="3C3C58"/>
                <w:sz w:val="29"/>
                <w:szCs w:val="29"/>
                <w:lang w:eastAsia="zh-CN"/>
              </w:rPr>
              <w:t>N≈10k</w:t>
            </w:r>
            <w:r w:rsidRPr="009C3B34">
              <w:rPr>
                <w:rFonts w:ascii="KaTeX_Math" w:eastAsia="宋体" w:hAnsi="KaTeX_Math" w:cs="Times New Roman"/>
                <w:i/>
                <w:iCs/>
                <w:color w:val="3C3C58"/>
                <w:sz w:val="29"/>
                <w:szCs w:val="29"/>
                <w:lang w:eastAsia="zh-CN"/>
              </w:rPr>
              <w:t>N</w:t>
            </w:r>
            <w:r w:rsidRPr="009C3B34">
              <w:rPr>
                <w:rFonts w:eastAsia="宋体" w:cs="Times New Roman"/>
                <w:color w:val="3C3C58"/>
                <w:sz w:val="29"/>
                <w:szCs w:val="29"/>
                <w:lang w:eastAsia="zh-CN"/>
              </w:rPr>
              <w:t>≈10</w:t>
            </w:r>
            <w:r w:rsidRPr="009C3B34">
              <w:rPr>
                <w:rFonts w:ascii="KaTeX_Math" w:eastAsia="宋体" w:hAnsi="KaTeX_Math" w:cs="Times New Roman"/>
                <w:i/>
                <w:iCs/>
                <w:color w:val="3C3C58"/>
                <w:sz w:val="29"/>
                <w:szCs w:val="29"/>
                <w:lang w:eastAsia="zh-CN"/>
              </w:rPr>
              <w:t>k</w:t>
            </w:r>
            <w:r w:rsidRPr="009C3B34">
              <w:rPr>
                <w:rFonts w:ascii="Segoe UI" w:eastAsia="宋体" w:hAnsi="Segoe UI" w:cs="Segoe UI"/>
                <w:color w:val="3C3C58"/>
                <w:sz w:val="21"/>
                <w:szCs w:val="21"/>
                <w:lang w:eastAsia="zh-CN"/>
              </w:rPr>
              <w:t xml:space="preserve"> </w:t>
            </w:r>
            <w:r w:rsidRPr="009C3B34">
              <w:rPr>
                <w:rFonts w:ascii="Segoe UI" w:eastAsia="宋体" w:hAnsi="Segoe UI" w:cs="Segoe UI"/>
                <w:color w:val="3C3C58"/>
                <w:sz w:val="21"/>
                <w:szCs w:val="21"/>
                <w:lang w:eastAsia="zh-CN"/>
              </w:rPr>
              <w:t>常规生产</w:t>
            </w:r>
          </w:p>
        </w:tc>
        <w:tc>
          <w:tcPr>
            <w:tcW w:w="960" w:type="dxa"/>
            <w:tcBorders>
              <w:top w:val="single" w:sz="8" w:space="0" w:color="DFE2E5"/>
              <w:left w:val="single" w:sz="8" w:space="0" w:color="DFE2E5"/>
              <w:bottom w:val="single" w:sz="8" w:space="0" w:color="DFE2E5"/>
              <w:right w:val="single" w:sz="8" w:space="0" w:color="DFE2E5"/>
            </w:tcBorders>
            <w:shd w:val="clear" w:color="auto" w:fill="FFFFFF"/>
            <w:vAlign w:val="center"/>
            <w:hideMark/>
          </w:tcPr>
          <w:p w14:paraId="2E0EAAA7" w14:textId="77777777" w:rsidR="009C3B34" w:rsidRPr="009C3B34" w:rsidRDefault="009C3B34" w:rsidP="009C3B34">
            <w:pPr>
              <w:spacing w:line="240" w:lineRule="auto"/>
              <w:rPr>
                <w:rFonts w:ascii="Segoe UI" w:eastAsia="宋体" w:hAnsi="Segoe UI" w:cs="Segoe UI"/>
                <w:color w:val="3C3C58"/>
                <w:sz w:val="21"/>
                <w:szCs w:val="21"/>
                <w:lang w:eastAsia="zh-CN"/>
              </w:rPr>
            </w:pPr>
            <w:r w:rsidRPr="009C3B34">
              <w:rPr>
                <w:rFonts w:ascii="Segoe UI" w:eastAsia="宋体" w:hAnsi="Segoe UI" w:cs="Segoe UI"/>
                <w:color w:val="3C3C58"/>
                <w:sz w:val="21"/>
                <w:szCs w:val="21"/>
                <w:lang w:eastAsia="zh-CN"/>
              </w:rPr>
              <w:t>质量达到生产要求，兼顾成本与周期</w:t>
            </w:r>
          </w:p>
        </w:tc>
        <w:tc>
          <w:tcPr>
            <w:tcW w:w="960" w:type="dxa"/>
            <w:tcBorders>
              <w:top w:val="single" w:sz="8" w:space="0" w:color="DFE2E5"/>
              <w:left w:val="single" w:sz="8" w:space="0" w:color="DFE2E5"/>
              <w:bottom w:val="single" w:sz="8" w:space="0" w:color="DFE2E5"/>
              <w:right w:val="single" w:sz="8" w:space="0" w:color="DFE2E5"/>
            </w:tcBorders>
            <w:shd w:val="clear" w:color="auto" w:fill="FFFFFF"/>
            <w:vAlign w:val="center"/>
            <w:hideMark/>
          </w:tcPr>
          <w:p w14:paraId="03B5A549" w14:textId="77777777" w:rsidR="009C3B34" w:rsidRPr="009C3B34" w:rsidRDefault="009C3B34" w:rsidP="009C3B34">
            <w:pPr>
              <w:spacing w:line="240" w:lineRule="auto"/>
              <w:rPr>
                <w:rFonts w:ascii="Segoe UI" w:eastAsia="宋体" w:hAnsi="Segoe UI" w:cs="Segoe UI"/>
                <w:color w:val="3C3C58"/>
                <w:sz w:val="21"/>
                <w:szCs w:val="21"/>
                <w:lang w:eastAsia="zh-CN"/>
              </w:rPr>
            </w:pPr>
            <w:r w:rsidRPr="009C3B34">
              <w:rPr>
                <w:rFonts w:ascii="Segoe UI" w:eastAsia="宋体" w:hAnsi="Segoe UI" w:cs="Segoe UI"/>
                <w:color w:val="3C3C58"/>
                <w:sz w:val="21"/>
                <w:szCs w:val="21"/>
                <w:lang w:eastAsia="zh-CN"/>
              </w:rPr>
              <w:t>总成本、人工工时、交付周期</w:t>
            </w:r>
          </w:p>
        </w:tc>
        <w:tc>
          <w:tcPr>
            <w:tcW w:w="4050" w:type="dxa"/>
            <w:tcBorders>
              <w:top w:val="single" w:sz="8" w:space="0" w:color="DFE2E5"/>
              <w:left w:val="single" w:sz="8" w:space="0" w:color="DFE2E5"/>
              <w:bottom w:val="single" w:sz="8" w:space="0" w:color="DFE2E5"/>
              <w:right w:val="nil"/>
            </w:tcBorders>
            <w:shd w:val="clear" w:color="auto" w:fill="FFFFFF"/>
            <w:vAlign w:val="center"/>
            <w:hideMark/>
          </w:tcPr>
          <w:p w14:paraId="6A92821C" w14:textId="77777777" w:rsidR="009C3B34" w:rsidRPr="009C3B34" w:rsidRDefault="009C3B34" w:rsidP="009C3B34">
            <w:pPr>
              <w:spacing w:line="240" w:lineRule="auto"/>
              <w:rPr>
                <w:rFonts w:ascii="Segoe UI" w:eastAsia="宋体" w:hAnsi="Segoe UI" w:cs="Segoe UI"/>
                <w:color w:val="3C3C58"/>
                <w:sz w:val="21"/>
                <w:szCs w:val="21"/>
                <w:lang w:eastAsia="zh-CN"/>
              </w:rPr>
            </w:pPr>
            <w:r w:rsidRPr="009C3B34">
              <w:rPr>
                <w:rFonts w:ascii="Segoe UI" w:eastAsia="宋体" w:hAnsi="Segoe UI" w:cs="Segoe UI"/>
                <w:color w:val="3C3C58"/>
                <w:sz w:val="21"/>
                <w:szCs w:val="21"/>
                <w:lang w:eastAsia="zh-CN"/>
              </w:rPr>
              <w:t>对满足质量门槛的</w:t>
            </w:r>
            <w:r w:rsidRPr="009C3B34">
              <w:rPr>
                <w:rFonts w:ascii="Segoe UI" w:eastAsia="宋体" w:hAnsi="Segoe UI" w:cs="Segoe UI"/>
                <w:color w:val="3C3C58"/>
                <w:sz w:val="21"/>
                <w:szCs w:val="21"/>
                <w:lang w:eastAsia="zh-CN"/>
              </w:rPr>
              <w:t xml:space="preserve"> Manual</w:t>
            </w:r>
            <w:r w:rsidRPr="009C3B34">
              <w:rPr>
                <w:rFonts w:ascii="Segoe UI" w:eastAsia="宋体" w:hAnsi="Segoe UI" w:cs="Segoe UI"/>
                <w:color w:val="3C3C58"/>
                <w:sz w:val="21"/>
                <w:szCs w:val="21"/>
                <w:lang w:eastAsia="zh-CN"/>
              </w:rPr>
              <w:t>、</w:t>
            </w:r>
            <w:r w:rsidRPr="009C3B34">
              <w:rPr>
                <w:rFonts w:ascii="Segoe UI" w:eastAsia="宋体" w:hAnsi="Segoe UI" w:cs="Segoe UI"/>
                <w:color w:val="3C3C58"/>
                <w:sz w:val="21"/>
                <w:szCs w:val="21"/>
                <w:lang w:eastAsia="zh-CN"/>
              </w:rPr>
              <w:t xml:space="preserve">V1 </w:t>
            </w:r>
            <w:r w:rsidRPr="009C3B34">
              <w:rPr>
                <w:rFonts w:ascii="Segoe UI" w:eastAsia="宋体" w:hAnsi="Segoe UI" w:cs="Segoe UI"/>
                <w:color w:val="3C3C58"/>
                <w:sz w:val="21"/>
                <w:szCs w:val="21"/>
                <w:lang w:eastAsia="zh-CN"/>
              </w:rPr>
              <w:t>和</w:t>
            </w:r>
            <w:r w:rsidRPr="009C3B34">
              <w:rPr>
                <w:rFonts w:ascii="Segoe UI" w:eastAsia="宋体" w:hAnsi="Segoe UI" w:cs="Segoe UI"/>
                <w:color w:val="3C3C58"/>
                <w:sz w:val="21"/>
                <w:szCs w:val="21"/>
                <w:lang w:eastAsia="zh-CN"/>
              </w:rPr>
              <w:t xml:space="preserve"> V2 </w:t>
            </w:r>
            <w:r w:rsidRPr="009C3B34">
              <w:rPr>
                <w:rFonts w:ascii="Segoe UI" w:eastAsia="宋体" w:hAnsi="Segoe UI" w:cs="Segoe UI"/>
                <w:color w:val="3C3C58"/>
                <w:sz w:val="21"/>
                <w:szCs w:val="21"/>
                <w:lang w:eastAsia="zh-CN"/>
              </w:rPr>
              <w:t>进行非支配比较，根据实际成本与交付周期确定候选流程</w:t>
            </w:r>
          </w:p>
        </w:tc>
      </w:tr>
      <w:tr w:rsidR="009C3B34" w:rsidRPr="009C3B34" w14:paraId="21437E19" w14:textId="77777777" w:rsidTr="009C3B34">
        <w:trPr>
          <w:trHeight w:val="1365"/>
        </w:trPr>
        <w:tc>
          <w:tcPr>
            <w:tcW w:w="2510" w:type="dxa"/>
            <w:tcBorders>
              <w:top w:val="single" w:sz="8" w:space="0" w:color="DFE2E5"/>
              <w:left w:val="nil"/>
              <w:bottom w:val="single" w:sz="8" w:space="0" w:color="DFE2E5"/>
              <w:right w:val="single" w:sz="8" w:space="0" w:color="DFE2E5"/>
            </w:tcBorders>
            <w:shd w:val="clear" w:color="auto" w:fill="F6F8FA"/>
            <w:vAlign w:val="center"/>
            <w:hideMark/>
          </w:tcPr>
          <w:p w14:paraId="52DC8FA4" w14:textId="77777777" w:rsidR="009C3B34" w:rsidRPr="009C3B34" w:rsidRDefault="009C3B34" w:rsidP="009C3B34">
            <w:pPr>
              <w:spacing w:line="240" w:lineRule="auto"/>
              <w:rPr>
                <w:rFonts w:eastAsia="宋体" w:cs="Times New Roman"/>
                <w:color w:val="3C3C58"/>
                <w:sz w:val="29"/>
                <w:szCs w:val="29"/>
                <w:lang w:eastAsia="zh-CN"/>
              </w:rPr>
            </w:pPr>
            <w:r w:rsidRPr="009C3B34">
              <w:rPr>
                <w:rFonts w:eastAsia="宋体" w:cs="Times New Roman"/>
                <w:color w:val="3C3C58"/>
                <w:sz w:val="29"/>
                <w:szCs w:val="29"/>
                <w:lang w:eastAsia="zh-CN"/>
              </w:rPr>
              <w:t>N≈100k</w:t>
            </w:r>
            <w:r w:rsidRPr="009C3B34">
              <w:rPr>
                <w:rFonts w:ascii="KaTeX_Math" w:eastAsia="宋体" w:hAnsi="KaTeX_Math" w:cs="Times New Roman"/>
                <w:i/>
                <w:iCs/>
                <w:color w:val="3C3C58"/>
                <w:sz w:val="29"/>
                <w:szCs w:val="29"/>
                <w:lang w:eastAsia="zh-CN"/>
              </w:rPr>
              <w:t>N</w:t>
            </w:r>
            <w:r w:rsidRPr="009C3B34">
              <w:rPr>
                <w:rFonts w:eastAsia="宋体" w:cs="Times New Roman"/>
                <w:color w:val="3C3C58"/>
                <w:sz w:val="29"/>
                <w:szCs w:val="29"/>
                <w:lang w:eastAsia="zh-CN"/>
              </w:rPr>
              <w:t>≈100</w:t>
            </w:r>
            <w:r w:rsidRPr="009C3B34">
              <w:rPr>
                <w:rFonts w:ascii="KaTeX_Math" w:eastAsia="宋体" w:hAnsi="KaTeX_Math" w:cs="Times New Roman"/>
                <w:i/>
                <w:iCs/>
                <w:color w:val="3C3C58"/>
                <w:sz w:val="29"/>
                <w:szCs w:val="29"/>
                <w:lang w:eastAsia="zh-CN"/>
              </w:rPr>
              <w:t>k</w:t>
            </w:r>
            <w:r w:rsidRPr="009C3B34">
              <w:rPr>
                <w:rFonts w:ascii="Segoe UI" w:eastAsia="宋体" w:hAnsi="Segoe UI" w:cs="Segoe UI"/>
                <w:color w:val="3C3C58"/>
                <w:sz w:val="21"/>
                <w:szCs w:val="21"/>
                <w:lang w:eastAsia="zh-CN"/>
              </w:rPr>
              <w:t xml:space="preserve"> </w:t>
            </w:r>
            <w:r w:rsidRPr="009C3B34">
              <w:rPr>
                <w:rFonts w:ascii="Segoe UI" w:eastAsia="宋体" w:hAnsi="Segoe UI" w:cs="Segoe UI"/>
                <w:color w:val="3C3C58"/>
                <w:sz w:val="21"/>
                <w:szCs w:val="21"/>
                <w:lang w:eastAsia="zh-CN"/>
              </w:rPr>
              <w:t>海量生产</w:t>
            </w:r>
          </w:p>
        </w:tc>
        <w:tc>
          <w:tcPr>
            <w:tcW w:w="960" w:type="dxa"/>
            <w:tcBorders>
              <w:top w:val="single" w:sz="8" w:space="0" w:color="DFE2E5"/>
              <w:left w:val="single" w:sz="8" w:space="0" w:color="DFE2E5"/>
              <w:bottom w:val="single" w:sz="8" w:space="0" w:color="DFE2E5"/>
              <w:right w:val="single" w:sz="8" w:space="0" w:color="DFE2E5"/>
            </w:tcBorders>
            <w:shd w:val="clear" w:color="auto" w:fill="F6F8FA"/>
            <w:vAlign w:val="center"/>
            <w:hideMark/>
          </w:tcPr>
          <w:p w14:paraId="727F697B" w14:textId="77777777" w:rsidR="009C3B34" w:rsidRPr="009C3B34" w:rsidRDefault="009C3B34" w:rsidP="009C3B34">
            <w:pPr>
              <w:spacing w:line="240" w:lineRule="auto"/>
              <w:rPr>
                <w:rFonts w:ascii="Segoe UI" w:eastAsia="宋体" w:hAnsi="Segoe UI" w:cs="Segoe UI"/>
                <w:color w:val="3C3C58"/>
                <w:sz w:val="21"/>
                <w:szCs w:val="21"/>
                <w:lang w:eastAsia="zh-CN"/>
              </w:rPr>
            </w:pPr>
            <w:r w:rsidRPr="009C3B34">
              <w:rPr>
                <w:rFonts w:ascii="Segoe UI" w:eastAsia="宋体" w:hAnsi="Segoe UI" w:cs="Segoe UI"/>
                <w:color w:val="3C3C58"/>
                <w:sz w:val="21"/>
                <w:szCs w:val="21"/>
                <w:lang w:eastAsia="zh-CN"/>
              </w:rPr>
              <w:t>质量底线满足，人工投入和单位成本可控</w:t>
            </w:r>
          </w:p>
        </w:tc>
        <w:tc>
          <w:tcPr>
            <w:tcW w:w="960" w:type="dxa"/>
            <w:tcBorders>
              <w:top w:val="single" w:sz="8" w:space="0" w:color="DFE2E5"/>
              <w:left w:val="single" w:sz="8" w:space="0" w:color="DFE2E5"/>
              <w:bottom w:val="single" w:sz="8" w:space="0" w:color="DFE2E5"/>
              <w:right w:val="single" w:sz="8" w:space="0" w:color="DFE2E5"/>
            </w:tcBorders>
            <w:shd w:val="clear" w:color="auto" w:fill="F6F8FA"/>
            <w:vAlign w:val="center"/>
            <w:hideMark/>
          </w:tcPr>
          <w:p w14:paraId="1CFE8AE6" w14:textId="77777777" w:rsidR="009C3B34" w:rsidRPr="009C3B34" w:rsidRDefault="009C3B34" w:rsidP="009C3B34">
            <w:pPr>
              <w:spacing w:line="240" w:lineRule="auto"/>
              <w:rPr>
                <w:rFonts w:ascii="Segoe UI" w:eastAsia="宋体" w:hAnsi="Segoe UI" w:cs="Segoe UI"/>
                <w:color w:val="3C3C58"/>
                <w:sz w:val="21"/>
                <w:szCs w:val="21"/>
                <w:lang w:eastAsia="zh-CN"/>
              </w:rPr>
            </w:pPr>
            <w:r w:rsidRPr="009C3B34">
              <w:rPr>
                <w:rFonts w:ascii="Segoe UI" w:eastAsia="宋体" w:hAnsi="Segoe UI" w:cs="Segoe UI"/>
                <w:color w:val="3C3C58"/>
                <w:sz w:val="21"/>
                <w:szCs w:val="21"/>
                <w:lang w:eastAsia="zh-CN"/>
              </w:rPr>
              <w:t>单位成本、人工工时、规模扩展能力</w:t>
            </w:r>
          </w:p>
        </w:tc>
        <w:tc>
          <w:tcPr>
            <w:tcW w:w="4050" w:type="dxa"/>
            <w:tcBorders>
              <w:top w:val="single" w:sz="8" w:space="0" w:color="DFE2E5"/>
              <w:left w:val="single" w:sz="8" w:space="0" w:color="DFE2E5"/>
              <w:bottom w:val="single" w:sz="8" w:space="0" w:color="DFE2E5"/>
              <w:right w:val="nil"/>
            </w:tcBorders>
            <w:shd w:val="clear" w:color="auto" w:fill="F6F8FA"/>
            <w:vAlign w:val="center"/>
            <w:hideMark/>
          </w:tcPr>
          <w:p w14:paraId="6C234CBA" w14:textId="77777777" w:rsidR="009C3B34" w:rsidRPr="009C3B34" w:rsidRDefault="009C3B34" w:rsidP="009C3B34">
            <w:pPr>
              <w:spacing w:line="240" w:lineRule="auto"/>
              <w:rPr>
                <w:rFonts w:ascii="Segoe UI" w:eastAsia="宋体" w:hAnsi="Segoe UI" w:cs="Segoe UI"/>
                <w:color w:val="3C3C58"/>
                <w:sz w:val="21"/>
                <w:szCs w:val="21"/>
                <w:lang w:eastAsia="zh-CN"/>
              </w:rPr>
            </w:pPr>
            <w:r w:rsidRPr="009C3B34">
              <w:rPr>
                <w:rFonts w:ascii="Segoe UI" w:eastAsia="宋体" w:hAnsi="Segoe UI" w:cs="Segoe UI"/>
                <w:color w:val="3C3C58"/>
                <w:sz w:val="21"/>
                <w:szCs w:val="21"/>
                <w:lang w:eastAsia="zh-CN"/>
              </w:rPr>
              <w:t>重点比较自动化流程的单位标签成本和人工负担，确定适用于大规模生产的方案</w:t>
            </w:r>
          </w:p>
        </w:tc>
      </w:tr>
      <w:tr w:rsidR="009C3B34" w:rsidRPr="009C3B34" w14:paraId="6FF2BC25" w14:textId="77777777" w:rsidTr="009C3B34">
        <w:trPr>
          <w:trHeight w:val="1220"/>
        </w:trPr>
        <w:tc>
          <w:tcPr>
            <w:tcW w:w="2510" w:type="dxa"/>
            <w:tcBorders>
              <w:top w:val="single" w:sz="8" w:space="0" w:color="DFE2E5"/>
              <w:left w:val="nil"/>
              <w:bottom w:val="nil"/>
              <w:right w:val="single" w:sz="8" w:space="0" w:color="DFE2E5"/>
            </w:tcBorders>
            <w:shd w:val="clear" w:color="auto" w:fill="FFFFFF"/>
            <w:vAlign w:val="center"/>
            <w:hideMark/>
          </w:tcPr>
          <w:p w14:paraId="354948BE" w14:textId="77777777" w:rsidR="009C3B34" w:rsidRPr="009C3B34" w:rsidRDefault="009C3B34" w:rsidP="009C3B34">
            <w:pPr>
              <w:spacing w:line="240" w:lineRule="auto"/>
              <w:rPr>
                <w:rFonts w:ascii="Segoe UI" w:eastAsia="宋体" w:hAnsi="Segoe UI" w:cs="Segoe UI"/>
                <w:color w:val="3C3C58"/>
                <w:sz w:val="21"/>
                <w:szCs w:val="21"/>
                <w:lang w:eastAsia="zh-CN"/>
              </w:rPr>
            </w:pPr>
            <w:r w:rsidRPr="009C3B34">
              <w:rPr>
                <w:rFonts w:ascii="Segoe UI" w:eastAsia="宋体" w:hAnsi="Segoe UI" w:cs="Segoe UI"/>
                <w:color w:val="3C3C58"/>
                <w:sz w:val="21"/>
                <w:szCs w:val="21"/>
                <w:lang w:eastAsia="zh-CN"/>
              </w:rPr>
              <w:lastRenderedPageBreak/>
              <w:t>高可靠场景</w:t>
            </w:r>
          </w:p>
        </w:tc>
        <w:tc>
          <w:tcPr>
            <w:tcW w:w="960" w:type="dxa"/>
            <w:tcBorders>
              <w:top w:val="single" w:sz="8" w:space="0" w:color="DFE2E5"/>
              <w:left w:val="single" w:sz="8" w:space="0" w:color="DFE2E5"/>
              <w:bottom w:val="nil"/>
              <w:right w:val="single" w:sz="8" w:space="0" w:color="DFE2E5"/>
            </w:tcBorders>
            <w:shd w:val="clear" w:color="auto" w:fill="FFFFFF"/>
            <w:vAlign w:val="center"/>
            <w:hideMark/>
          </w:tcPr>
          <w:p w14:paraId="57787BB0" w14:textId="77777777" w:rsidR="009C3B34" w:rsidRPr="009C3B34" w:rsidRDefault="009C3B34" w:rsidP="009C3B34">
            <w:pPr>
              <w:spacing w:line="240" w:lineRule="auto"/>
              <w:rPr>
                <w:rFonts w:ascii="Segoe UI" w:eastAsia="宋体" w:hAnsi="Segoe UI" w:cs="Segoe UI"/>
                <w:color w:val="3C3C58"/>
                <w:sz w:val="21"/>
                <w:szCs w:val="21"/>
                <w:lang w:eastAsia="zh-CN"/>
              </w:rPr>
            </w:pPr>
            <w:r w:rsidRPr="009C3B34">
              <w:rPr>
                <w:rFonts w:ascii="Segoe UI" w:eastAsia="宋体" w:hAnsi="Segoe UI" w:cs="Segoe UI"/>
                <w:color w:val="3C3C58"/>
                <w:sz w:val="21"/>
                <w:szCs w:val="21"/>
                <w:lang w:eastAsia="zh-CN"/>
              </w:rPr>
              <w:t>较高的检测效用与</w:t>
            </w:r>
            <w:r w:rsidRPr="009C3B34">
              <w:rPr>
                <w:rFonts w:ascii="Segoe UI" w:eastAsia="宋体" w:hAnsi="Segoe UI" w:cs="Segoe UI"/>
                <w:color w:val="3C3C58"/>
                <w:sz w:val="21"/>
                <w:szCs w:val="21"/>
                <w:lang w:eastAsia="zh-CN"/>
              </w:rPr>
              <w:t xml:space="preserve"> Recall </w:t>
            </w:r>
            <w:r w:rsidRPr="009C3B34">
              <w:rPr>
                <w:rFonts w:ascii="Segoe UI" w:eastAsia="宋体" w:hAnsi="Segoe UI" w:cs="Segoe UI"/>
                <w:color w:val="3C3C58"/>
                <w:sz w:val="21"/>
                <w:szCs w:val="21"/>
                <w:lang w:eastAsia="zh-CN"/>
              </w:rPr>
              <w:t>要求</w:t>
            </w:r>
          </w:p>
        </w:tc>
        <w:tc>
          <w:tcPr>
            <w:tcW w:w="960" w:type="dxa"/>
            <w:tcBorders>
              <w:top w:val="single" w:sz="8" w:space="0" w:color="DFE2E5"/>
              <w:left w:val="single" w:sz="8" w:space="0" w:color="DFE2E5"/>
              <w:bottom w:val="nil"/>
              <w:right w:val="single" w:sz="8" w:space="0" w:color="DFE2E5"/>
            </w:tcBorders>
            <w:shd w:val="clear" w:color="auto" w:fill="FFFFFF"/>
            <w:vAlign w:val="center"/>
            <w:hideMark/>
          </w:tcPr>
          <w:p w14:paraId="442DE089" w14:textId="77777777" w:rsidR="009C3B34" w:rsidRPr="009C3B34" w:rsidRDefault="009C3B34" w:rsidP="009C3B34">
            <w:pPr>
              <w:spacing w:line="240" w:lineRule="auto"/>
              <w:rPr>
                <w:rFonts w:ascii="Segoe UI" w:eastAsia="宋体" w:hAnsi="Segoe UI" w:cs="Segoe UI"/>
                <w:color w:val="3C3C58"/>
                <w:sz w:val="21"/>
                <w:szCs w:val="21"/>
                <w:lang w:eastAsia="zh-CN"/>
              </w:rPr>
            </w:pPr>
            <w:r w:rsidRPr="009C3B34">
              <w:rPr>
                <w:rFonts w:ascii="Segoe UI" w:eastAsia="宋体" w:hAnsi="Segoe UI" w:cs="Segoe UI"/>
                <w:color w:val="3C3C58"/>
                <w:sz w:val="21"/>
                <w:szCs w:val="21"/>
                <w:lang w:eastAsia="zh-CN"/>
              </w:rPr>
              <w:t>质量增益与新增投入之间的关系</w:t>
            </w:r>
          </w:p>
        </w:tc>
        <w:tc>
          <w:tcPr>
            <w:tcW w:w="4050" w:type="dxa"/>
            <w:tcBorders>
              <w:top w:val="single" w:sz="8" w:space="0" w:color="DFE2E5"/>
              <w:left w:val="single" w:sz="8" w:space="0" w:color="DFE2E5"/>
              <w:bottom w:val="nil"/>
              <w:right w:val="nil"/>
            </w:tcBorders>
            <w:shd w:val="clear" w:color="auto" w:fill="FFFFFF"/>
            <w:vAlign w:val="center"/>
            <w:hideMark/>
          </w:tcPr>
          <w:p w14:paraId="2F0BBA31" w14:textId="77777777" w:rsidR="009C3B34" w:rsidRPr="009C3B34" w:rsidRDefault="009C3B34" w:rsidP="009C3B34">
            <w:pPr>
              <w:spacing w:line="240" w:lineRule="auto"/>
              <w:rPr>
                <w:rFonts w:ascii="Segoe UI" w:eastAsia="宋体" w:hAnsi="Segoe UI" w:cs="Segoe UI"/>
                <w:color w:val="3C3C58"/>
                <w:sz w:val="21"/>
                <w:szCs w:val="21"/>
                <w:lang w:eastAsia="zh-CN"/>
              </w:rPr>
            </w:pPr>
            <w:r w:rsidRPr="009C3B34">
              <w:rPr>
                <w:rFonts w:ascii="Segoe UI" w:eastAsia="宋体" w:hAnsi="Segoe UI" w:cs="Segoe UI"/>
                <w:color w:val="3C3C58"/>
                <w:sz w:val="21"/>
                <w:szCs w:val="21"/>
                <w:lang w:eastAsia="zh-CN"/>
              </w:rPr>
              <w:t xml:space="preserve">V2 </w:t>
            </w:r>
            <w:r w:rsidRPr="009C3B34">
              <w:rPr>
                <w:rFonts w:ascii="Segoe UI" w:eastAsia="宋体" w:hAnsi="Segoe UI" w:cs="Segoe UI"/>
                <w:color w:val="3C3C58"/>
                <w:sz w:val="21"/>
                <w:szCs w:val="21"/>
                <w:lang w:eastAsia="zh-CN"/>
              </w:rPr>
              <w:t>仅在相对</w:t>
            </w:r>
            <w:r w:rsidRPr="009C3B34">
              <w:rPr>
                <w:rFonts w:ascii="Segoe UI" w:eastAsia="宋体" w:hAnsi="Segoe UI" w:cs="Segoe UI"/>
                <w:color w:val="3C3C58"/>
                <w:sz w:val="21"/>
                <w:szCs w:val="21"/>
                <w:lang w:eastAsia="zh-CN"/>
              </w:rPr>
              <w:t xml:space="preserve"> V1 </w:t>
            </w:r>
            <w:r w:rsidRPr="009C3B34">
              <w:rPr>
                <w:rFonts w:ascii="Segoe UI" w:eastAsia="宋体" w:hAnsi="Segoe UI" w:cs="Segoe UI"/>
                <w:color w:val="3C3C58"/>
                <w:sz w:val="21"/>
                <w:szCs w:val="21"/>
                <w:lang w:eastAsia="zh-CN"/>
              </w:rPr>
              <w:t>获得稳定且具有实际意义的质量增益时进入候选，否则保留</w:t>
            </w:r>
            <w:r w:rsidRPr="009C3B34">
              <w:rPr>
                <w:rFonts w:ascii="Segoe UI" w:eastAsia="宋体" w:hAnsi="Segoe UI" w:cs="Segoe UI"/>
                <w:color w:val="3C3C58"/>
                <w:sz w:val="21"/>
                <w:szCs w:val="21"/>
                <w:lang w:eastAsia="zh-CN"/>
              </w:rPr>
              <w:t xml:space="preserve"> V1</w:t>
            </w:r>
          </w:p>
        </w:tc>
      </w:tr>
    </w:tbl>
    <w:p w14:paraId="3DF9A83E" w14:textId="77777777" w:rsidR="009C3B34" w:rsidRPr="009C3B34" w:rsidRDefault="009C3B34">
      <w:pPr>
        <w:ind w:firstLine="420"/>
        <w:jc w:val="both"/>
        <w:rPr>
          <w:rFonts w:eastAsia="宋体" w:hint="eastAsia"/>
          <w:lang w:eastAsia="zh-CN"/>
        </w:rPr>
      </w:pPr>
    </w:p>
    <w:p w14:paraId="1520CC91" w14:textId="77777777" w:rsidR="00376CE4" w:rsidRDefault="00BD4032">
      <w:pPr>
        <w:pStyle w:val="1"/>
        <w:spacing w:before="200" w:after="100"/>
        <w:rPr>
          <w:lang w:eastAsia="zh-CN"/>
        </w:rPr>
      </w:pPr>
      <w:r>
        <w:rPr>
          <w:rFonts w:ascii="Arial" w:eastAsia="Noto Sans CJK SC" w:hAnsi="Arial"/>
          <w:lang w:eastAsia="zh-CN"/>
        </w:rPr>
        <w:t>六、与现有开题报告的具体衔接方式</w:t>
      </w:r>
    </w:p>
    <w:p w14:paraId="26549505" w14:textId="77777777" w:rsidR="00376CE4" w:rsidRDefault="00BD4032">
      <w:pPr>
        <w:pStyle w:val="21"/>
        <w:spacing w:before="140" w:after="100"/>
        <w:rPr>
          <w:lang w:eastAsia="zh-CN"/>
        </w:rPr>
      </w:pPr>
      <w:r>
        <w:rPr>
          <w:rFonts w:ascii="Arial" w:eastAsia="Noto Sans CJK SC" w:hAnsi="Arial"/>
          <w:lang w:eastAsia="zh-CN"/>
        </w:rPr>
        <w:t xml:space="preserve">6.1 </w:t>
      </w:r>
      <w:r>
        <w:rPr>
          <w:rFonts w:ascii="Arial" w:eastAsia="Noto Sans CJK SC" w:hAnsi="Arial"/>
          <w:lang w:eastAsia="zh-CN"/>
        </w:rPr>
        <w:t>建议替换：</w:t>
      </w:r>
      <w:r>
        <w:rPr>
          <w:rFonts w:ascii="Arial" w:eastAsia="Noto Sans CJK SC" w:hAnsi="Arial"/>
          <w:lang w:eastAsia="zh-CN"/>
        </w:rPr>
        <w:t xml:space="preserve">2.6 Pareto </w:t>
      </w:r>
      <w:r>
        <w:rPr>
          <w:rFonts w:ascii="Arial" w:eastAsia="Noto Sans CJK SC" w:hAnsi="Arial"/>
          <w:lang w:eastAsia="zh-CN"/>
        </w:rPr>
        <w:t>非支配与多规模流程比较</w:t>
      </w:r>
    </w:p>
    <w:p w14:paraId="5BA01F2A" w14:textId="77777777" w:rsidR="006F7670" w:rsidRPr="006F7670" w:rsidRDefault="006F7670" w:rsidP="006F7670">
      <w:pPr>
        <w:ind w:firstLine="420"/>
        <w:jc w:val="both"/>
        <w:rPr>
          <w:lang w:eastAsia="zh-CN"/>
        </w:rPr>
      </w:pPr>
      <w:r w:rsidRPr="006F7670">
        <w:rPr>
          <w:rFonts w:ascii="宋体" w:eastAsia="宋体" w:hAnsi="宋体" w:cs="宋体" w:hint="eastAsia"/>
          <w:lang w:eastAsia="zh-CN"/>
        </w:rPr>
        <w:t>不同标签生产流程在下游效用、标签制备成本和交付周期方面可能各有优势。由于本文比较的候选流程数量有限，采用</w:t>
      </w:r>
      <w:r w:rsidRPr="006F7670">
        <w:rPr>
          <w:lang w:eastAsia="zh-CN"/>
        </w:rPr>
        <w:t xml:space="preserve"> Pareto </w:t>
      </w:r>
      <w:r w:rsidRPr="006F7670">
        <w:rPr>
          <w:rFonts w:ascii="宋体" w:eastAsia="宋体" w:hAnsi="宋体" w:cs="宋体" w:hint="eastAsia"/>
          <w:lang w:eastAsia="zh-CN"/>
        </w:rPr>
        <w:t>非支配关系对人工标注、</w:t>
      </w:r>
      <w:r w:rsidRPr="006F7670">
        <w:rPr>
          <w:lang w:eastAsia="zh-CN"/>
        </w:rPr>
        <w:t xml:space="preserve">Grounding DINO V1 </w:t>
      </w:r>
      <w:r w:rsidRPr="006F7670">
        <w:rPr>
          <w:rFonts w:ascii="宋体" w:eastAsia="宋体" w:hAnsi="宋体" w:cs="宋体" w:hint="eastAsia"/>
          <w:lang w:eastAsia="zh-CN"/>
        </w:rPr>
        <w:t>以及通过验证的</w:t>
      </w:r>
      <w:r w:rsidRPr="006F7670">
        <w:rPr>
          <w:lang w:eastAsia="zh-CN"/>
        </w:rPr>
        <w:t xml:space="preserve"> SAM3 </w:t>
      </w:r>
      <w:r w:rsidRPr="006F7670">
        <w:rPr>
          <w:rFonts w:ascii="宋体" w:eastAsia="宋体" w:hAnsi="宋体" w:cs="宋体" w:hint="eastAsia"/>
          <w:lang w:eastAsia="zh-CN"/>
        </w:rPr>
        <w:t>级联方案进行比较</w:t>
      </w:r>
      <w:r w:rsidRPr="006F7670">
        <w:rPr>
          <w:lang w:eastAsia="zh-CN"/>
        </w:rPr>
        <w:t>[12]</w:t>
      </w:r>
      <w:r w:rsidRPr="006F7670">
        <w:rPr>
          <w:rFonts w:ascii="宋体" w:eastAsia="宋体" w:hAnsi="宋体" w:cs="宋体" w:hint="eastAsia"/>
          <w:lang w:eastAsia="zh-CN"/>
        </w:rPr>
        <w:t>。</w:t>
      </w:r>
    </w:p>
    <w:p w14:paraId="28D87450" w14:textId="77777777" w:rsidR="006F7670" w:rsidRPr="006F7670" w:rsidRDefault="006F7670" w:rsidP="006F7670">
      <w:pPr>
        <w:ind w:firstLine="420"/>
        <w:jc w:val="both"/>
        <w:rPr>
          <w:lang w:eastAsia="zh-CN"/>
        </w:rPr>
      </w:pPr>
      <w:r w:rsidRPr="006F7670">
        <w:rPr>
          <w:rFonts w:ascii="宋体" w:eastAsia="宋体" w:hAnsi="宋体" w:cs="宋体" w:hint="eastAsia"/>
          <w:lang w:eastAsia="zh-CN"/>
        </w:rPr>
        <w:t>在给定数据规模下，若方案</w:t>
      </w:r>
      <w:r w:rsidRPr="006F7670">
        <w:rPr>
          <w:lang w:eastAsia="zh-CN"/>
        </w:rPr>
        <w:t xml:space="preserve"> A </w:t>
      </w:r>
      <w:r w:rsidRPr="006F7670">
        <w:rPr>
          <w:rFonts w:ascii="宋体" w:eastAsia="宋体" w:hAnsi="宋体" w:cs="宋体" w:hint="eastAsia"/>
          <w:lang w:eastAsia="zh-CN"/>
        </w:rPr>
        <w:t>的下游效用不低于方案</w:t>
      </w:r>
      <w:r w:rsidRPr="006F7670">
        <w:rPr>
          <w:lang w:eastAsia="zh-CN"/>
        </w:rPr>
        <w:t xml:space="preserve"> B</w:t>
      </w:r>
      <w:r w:rsidRPr="006F7670">
        <w:rPr>
          <w:rFonts w:ascii="宋体" w:eastAsia="宋体" w:hAnsi="宋体" w:cs="宋体" w:hint="eastAsia"/>
          <w:lang w:eastAsia="zh-CN"/>
        </w:rPr>
        <w:t>，同时标签制备成本和交付周期均不高于方案</w:t>
      </w:r>
      <w:r w:rsidRPr="006F7670">
        <w:rPr>
          <w:lang w:eastAsia="zh-CN"/>
        </w:rPr>
        <w:t xml:space="preserve"> B</w:t>
      </w:r>
      <w:r w:rsidRPr="006F7670">
        <w:rPr>
          <w:rFonts w:ascii="宋体" w:eastAsia="宋体" w:hAnsi="宋体" w:cs="宋体" w:hint="eastAsia"/>
          <w:lang w:eastAsia="zh-CN"/>
        </w:rPr>
        <w:t>，且至少一个维度更优，则认为方案</w:t>
      </w:r>
      <w:r w:rsidRPr="006F7670">
        <w:rPr>
          <w:lang w:eastAsia="zh-CN"/>
        </w:rPr>
        <w:t xml:space="preserve"> A </w:t>
      </w:r>
      <w:r w:rsidRPr="006F7670">
        <w:rPr>
          <w:rFonts w:ascii="宋体" w:eastAsia="宋体" w:hAnsi="宋体" w:cs="宋体" w:hint="eastAsia"/>
          <w:lang w:eastAsia="zh-CN"/>
        </w:rPr>
        <w:t>支配方案</w:t>
      </w:r>
      <w:r w:rsidRPr="006F7670">
        <w:rPr>
          <w:lang w:eastAsia="zh-CN"/>
        </w:rPr>
        <w:t xml:space="preserve"> B</w:t>
      </w:r>
      <w:r w:rsidRPr="006F7670">
        <w:rPr>
          <w:rFonts w:ascii="宋体" w:eastAsia="宋体" w:hAnsi="宋体" w:cs="宋体" w:hint="eastAsia"/>
          <w:lang w:eastAsia="zh-CN"/>
        </w:rPr>
        <w:t>。未被其他方案支配的流程构成该规模下的候选方案集合。</w:t>
      </w:r>
    </w:p>
    <w:p w14:paraId="12F2E3AD" w14:textId="77777777" w:rsidR="006F7670" w:rsidRPr="006F7670" w:rsidRDefault="006F7670" w:rsidP="006F7670">
      <w:pPr>
        <w:ind w:firstLine="420"/>
        <w:jc w:val="both"/>
        <w:rPr>
          <w:lang w:eastAsia="zh-CN"/>
        </w:rPr>
      </w:pPr>
      <w:r w:rsidRPr="006F7670">
        <w:rPr>
          <w:rFonts w:ascii="宋体" w:eastAsia="宋体" w:hAnsi="宋体" w:cs="宋体" w:hint="eastAsia"/>
          <w:lang w:eastAsia="zh-CN"/>
        </w:rPr>
        <w:t>本文选择</w:t>
      </w:r>
      <w:r w:rsidRPr="006F7670">
        <w:rPr>
          <w:lang w:eastAsia="zh-CN"/>
        </w:rPr>
        <w:t xml:space="preserve"> 1k</w:t>
      </w:r>
      <w:r w:rsidRPr="006F7670">
        <w:rPr>
          <w:rFonts w:ascii="宋体" w:eastAsia="宋体" w:hAnsi="宋体" w:cs="宋体" w:hint="eastAsia"/>
          <w:lang w:eastAsia="zh-CN"/>
        </w:rPr>
        <w:t>、</w:t>
      </w:r>
      <w:r w:rsidRPr="006F7670">
        <w:rPr>
          <w:lang w:eastAsia="zh-CN"/>
        </w:rPr>
        <w:t xml:space="preserve">10k </w:t>
      </w:r>
      <w:r w:rsidRPr="006F7670">
        <w:rPr>
          <w:rFonts w:ascii="宋体" w:eastAsia="宋体" w:hAnsi="宋体" w:cs="宋体" w:hint="eastAsia"/>
          <w:lang w:eastAsia="zh-CN"/>
        </w:rPr>
        <w:t>和</w:t>
      </w:r>
      <w:r w:rsidRPr="006F7670">
        <w:rPr>
          <w:lang w:eastAsia="zh-CN"/>
        </w:rPr>
        <w:t xml:space="preserve"> 100k </w:t>
      </w:r>
      <w:r w:rsidRPr="006F7670">
        <w:rPr>
          <w:rFonts w:ascii="宋体" w:eastAsia="宋体" w:hAnsi="宋体" w:cs="宋体" w:hint="eastAsia"/>
          <w:lang w:eastAsia="zh-CN"/>
        </w:rPr>
        <w:t>作为代表性数据规模，用于观察不同流程在规模扩展过程中的投入变化。</w:t>
      </w:r>
      <w:r w:rsidRPr="006F7670">
        <w:rPr>
          <w:lang w:eastAsia="zh-CN"/>
        </w:rPr>
        <w:t xml:space="preserve">Pareto </w:t>
      </w:r>
      <w:r w:rsidRPr="006F7670">
        <w:rPr>
          <w:rFonts w:ascii="宋体" w:eastAsia="宋体" w:hAnsi="宋体" w:cs="宋体" w:hint="eastAsia"/>
          <w:lang w:eastAsia="zh-CN"/>
        </w:rPr>
        <w:t>分析首先用于排除明显劣势方案，在此基础上，再结合质量要求、交付周期和资源约束确定具体场景下的推荐流程。</w:t>
      </w:r>
    </w:p>
    <w:p w14:paraId="242ECAA5" w14:textId="234CFD5A" w:rsidR="00376CE4" w:rsidRPr="006F7670" w:rsidRDefault="00376CE4">
      <w:pPr>
        <w:ind w:firstLine="420"/>
        <w:jc w:val="both"/>
        <w:rPr>
          <w:lang w:eastAsia="zh-CN"/>
        </w:rPr>
      </w:pPr>
    </w:p>
    <w:p w14:paraId="3220D3C4" w14:textId="77777777" w:rsidR="00376CE4" w:rsidRDefault="00BD4032">
      <w:pPr>
        <w:pStyle w:val="21"/>
        <w:spacing w:before="140" w:after="100"/>
        <w:rPr>
          <w:lang w:eastAsia="zh-CN"/>
        </w:rPr>
      </w:pPr>
      <w:r>
        <w:rPr>
          <w:rFonts w:ascii="Arial" w:eastAsia="Noto Sans CJK SC" w:hAnsi="Arial"/>
          <w:lang w:eastAsia="zh-CN"/>
        </w:rPr>
        <w:t xml:space="preserve">6.2 </w:t>
      </w:r>
      <w:r>
        <w:rPr>
          <w:rFonts w:ascii="Arial" w:eastAsia="Noto Sans CJK SC" w:hAnsi="Arial"/>
          <w:lang w:eastAsia="zh-CN"/>
        </w:rPr>
        <w:t>建议替换：研究内容三</w:t>
      </w:r>
      <w:r>
        <w:rPr>
          <w:rFonts w:ascii="Arial" w:eastAsia="Noto Sans CJK SC" w:hAnsi="Arial"/>
          <w:lang w:eastAsia="zh-CN"/>
        </w:rPr>
        <w:t>——</w:t>
      </w:r>
      <w:r>
        <w:rPr>
          <w:rFonts w:ascii="Arial" w:eastAsia="Noto Sans CJK SC" w:hAnsi="Arial"/>
          <w:lang w:eastAsia="zh-CN"/>
        </w:rPr>
        <w:t>不同数据规模下的投入分析与流程选择</w:t>
      </w:r>
    </w:p>
    <w:p w14:paraId="4E767644" w14:textId="77777777" w:rsidR="00193B76" w:rsidRPr="00193B76" w:rsidRDefault="00193B76" w:rsidP="00193B76">
      <w:pPr>
        <w:ind w:firstLine="420"/>
        <w:jc w:val="both"/>
        <w:rPr>
          <w:lang w:eastAsia="zh-CN"/>
        </w:rPr>
      </w:pPr>
      <w:r w:rsidRPr="00193B76">
        <w:rPr>
          <w:rFonts w:ascii="宋体" w:eastAsia="宋体" w:hAnsi="宋体" w:cs="宋体" w:hint="eastAsia"/>
          <w:lang w:eastAsia="zh-CN"/>
        </w:rPr>
        <w:t>在候选标签流程完成技术验证后，对人工标注、</w:t>
      </w:r>
      <w:r w:rsidRPr="00193B76">
        <w:rPr>
          <w:lang w:eastAsia="zh-CN"/>
        </w:rPr>
        <w:t xml:space="preserve">Grounding DINO V1 </w:t>
      </w:r>
      <w:r w:rsidRPr="00193B76">
        <w:rPr>
          <w:rFonts w:ascii="宋体" w:eastAsia="宋体" w:hAnsi="宋体" w:cs="宋体" w:hint="eastAsia"/>
          <w:lang w:eastAsia="zh-CN"/>
        </w:rPr>
        <w:t>以及最终保留的</w:t>
      </w:r>
      <w:r w:rsidRPr="00193B76">
        <w:rPr>
          <w:lang w:eastAsia="zh-CN"/>
        </w:rPr>
        <w:t xml:space="preserve"> SAM3 </w:t>
      </w:r>
      <w:r w:rsidRPr="00193B76">
        <w:rPr>
          <w:rFonts w:ascii="宋体" w:eastAsia="宋体" w:hAnsi="宋体" w:cs="宋体" w:hint="eastAsia"/>
          <w:lang w:eastAsia="zh-CN"/>
        </w:rPr>
        <w:t>级联方案进行生产投入比较。研究重点记录</w:t>
      </w:r>
      <w:r w:rsidRPr="00193B76">
        <w:rPr>
          <w:lang w:eastAsia="zh-CN"/>
        </w:rPr>
        <w:t xml:space="preserve"> GPU </w:t>
      </w:r>
      <w:r w:rsidRPr="00193B76">
        <w:rPr>
          <w:rFonts w:ascii="宋体" w:eastAsia="宋体" w:hAnsi="宋体" w:cs="宋体" w:hint="eastAsia"/>
          <w:lang w:eastAsia="zh-CN"/>
        </w:rPr>
        <w:t>推理时间、人工标注与复核工时、返工投入及实际交付周期，并基于实测数据分析</w:t>
      </w:r>
      <w:r w:rsidRPr="00193B76">
        <w:rPr>
          <w:lang w:eastAsia="zh-CN"/>
        </w:rPr>
        <w:t xml:space="preserve"> 1k</w:t>
      </w:r>
      <w:r w:rsidRPr="00193B76">
        <w:rPr>
          <w:rFonts w:ascii="宋体" w:eastAsia="宋体" w:hAnsi="宋体" w:cs="宋体" w:hint="eastAsia"/>
          <w:lang w:eastAsia="zh-CN"/>
        </w:rPr>
        <w:t>、</w:t>
      </w:r>
      <w:r w:rsidRPr="00193B76">
        <w:rPr>
          <w:lang w:eastAsia="zh-CN"/>
        </w:rPr>
        <w:t xml:space="preserve">10k </w:t>
      </w:r>
      <w:r w:rsidRPr="00193B76">
        <w:rPr>
          <w:rFonts w:ascii="宋体" w:eastAsia="宋体" w:hAnsi="宋体" w:cs="宋体" w:hint="eastAsia"/>
          <w:lang w:eastAsia="zh-CN"/>
        </w:rPr>
        <w:t>和</w:t>
      </w:r>
      <w:r w:rsidRPr="00193B76">
        <w:rPr>
          <w:lang w:eastAsia="zh-CN"/>
        </w:rPr>
        <w:t xml:space="preserve"> 100k </w:t>
      </w:r>
      <w:r w:rsidRPr="00193B76">
        <w:rPr>
          <w:rFonts w:ascii="宋体" w:eastAsia="宋体" w:hAnsi="宋体" w:cs="宋体" w:hint="eastAsia"/>
          <w:lang w:eastAsia="zh-CN"/>
        </w:rPr>
        <w:t>三种规模下的资源消耗变化。</w:t>
      </w:r>
    </w:p>
    <w:p w14:paraId="31A3DF54" w14:textId="77777777" w:rsidR="00193B76" w:rsidRPr="00193B76" w:rsidRDefault="00193B76" w:rsidP="00193B76">
      <w:pPr>
        <w:ind w:firstLine="420"/>
        <w:jc w:val="both"/>
        <w:rPr>
          <w:lang w:eastAsia="zh-CN"/>
        </w:rPr>
      </w:pPr>
      <w:r w:rsidRPr="00193B76">
        <w:rPr>
          <w:rFonts w:ascii="宋体" w:eastAsia="宋体" w:hAnsi="宋体" w:cs="宋体" w:hint="eastAsia"/>
          <w:lang w:eastAsia="zh-CN"/>
        </w:rPr>
        <w:t>在此基础上，结合前述下游检测效用，对不同流程进行</w:t>
      </w:r>
      <w:r w:rsidRPr="00193B76">
        <w:rPr>
          <w:lang w:eastAsia="zh-CN"/>
        </w:rPr>
        <w:t xml:space="preserve"> Pareto </w:t>
      </w:r>
      <w:r w:rsidRPr="00193B76">
        <w:rPr>
          <w:rFonts w:ascii="宋体" w:eastAsia="宋体" w:hAnsi="宋体" w:cs="宋体" w:hint="eastAsia"/>
          <w:lang w:eastAsia="zh-CN"/>
        </w:rPr>
        <w:t>非支配比较，并针对高可靠、快速迭代和大规模数据生产等典型应用条件给出流程选择建议。</w:t>
      </w:r>
    </w:p>
    <w:p w14:paraId="3E82648B" w14:textId="469EA03F" w:rsidR="00376CE4" w:rsidRPr="00193B76" w:rsidRDefault="00376CE4">
      <w:pPr>
        <w:ind w:firstLine="420"/>
        <w:jc w:val="both"/>
        <w:rPr>
          <w:lang w:eastAsia="zh-CN"/>
        </w:rPr>
      </w:pPr>
    </w:p>
    <w:p w14:paraId="2B580C74" w14:textId="77777777" w:rsidR="00376CE4" w:rsidRDefault="00BD4032">
      <w:pPr>
        <w:pStyle w:val="21"/>
        <w:spacing w:before="140" w:after="100"/>
        <w:rPr>
          <w:lang w:eastAsia="zh-CN"/>
        </w:rPr>
      </w:pPr>
      <w:r>
        <w:rPr>
          <w:rFonts w:ascii="Arial" w:eastAsia="Noto Sans CJK SC" w:hAnsi="Arial"/>
          <w:lang w:eastAsia="zh-CN"/>
        </w:rPr>
        <w:t xml:space="preserve">6.3 </w:t>
      </w:r>
      <w:r>
        <w:rPr>
          <w:rFonts w:ascii="Arial" w:eastAsia="Noto Sans CJK SC" w:hAnsi="Arial"/>
          <w:lang w:eastAsia="zh-CN"/>
        </w:rPr>
        <w:t>建议修订：</w:t>
      </w:r>
      <w:r>
        <w:rPr>
          <w:rFonts w:ascii="Arial" w:eastAsia="Noto Sans CJK SC" w:hAnsi="Arial"/>
          <w:lang w:eastAsia="zh-CN"/>
        </w:rPr>
        <w:t xml:space="preserve">5.8 </w:t>
      </w:r>
      <w:r>
        <w:rPr>
          <w:rFonts w:ascii="Arial" w:eastAsia="Noto Sans CJK SC" w:hAnsi="Arial"/>
          <w:lang w:eastAsia="zh-CN"/>
        </w:rPr>
        <w:t>制备投入记录与多尺度规模推演</w:t>
      </w:r>
    </w:p>
    <w:p w14:paraId="4128343F" w14:textId="77777777" w:rsidR="00FC53B3" w:rsidRPr="00FC53B3" w:rsidRDefault="00FC53B3" w:rsidP="00FC53B3">
      <w:pPr>
        <w:ind w:firstLine="420"/>
        <w:jc w:val="both"/>
        <w:rPr>
          <w:lang w:eastAsia="zh-CN"/>
        </w:rPr>
      </w:pPr>
      <w:r w:rsidRPr="00FC53B3">
        <w:rPr>
          <w:rFonts w:ascii="宋体" w:eastAsia="宋体" w:hAnsi="宋体" w:cs="宋体" w:hint="eastAsia"/>
          <w:lang w:eastAsia="zh-CN"/>
        </w:rPr>
        <w:t>本文分别记录各标签生产流程的固定启动时间、模型推理</w:t>
      </w:r>
      <w:r w:rsidRPr="00FC53B3">
        <w:rPr>
          <w:lang w:eastAsia="zh-CN"/>
        </w:rPr>
        <w:t xml:space="preserve"> GPU </w:t>
      </w:r>
      <w:r w:rsidRPr="00FC53B3">
        <w:rPr>
          <w:rFonts w:ascii="宋体" w:eastAsia="宋体" w:hAnsi="宋体" w:cs="宋体" w:hint="eastAsia"/>
          <w:lang w:eastAsia="zh-CN"/>
        </w:rPr>
        <w:t>机时、人工标注与复核工时、错误修正及返工投入，并将形成可训练标签版本之前的投入作为标签制备成本。</w:t>
      </w:r>
    </w:p>
    <w:p w14:paraId="3E6931F3" w14:textId="77777777" w:rsidR="00FC53B3" w:rsidRPr="00FC53B3" w:rsidRDefault="00FC53B3" w:rsidP="00FC53B3">
      <w:pPr>
        <w:ind w:firstLine="420"/>
        <w:jc w:val="both"/>
        <w:rPr>
          <w:lang w:eastAsia="zh-CN"/>
        </w:rPr>
      </w:pPr>
      <w:r w:rsidRPr="00FC53B3">
        <w:rPr>
          <w:rFonts w:ascii="宋体" w:eastAsia="宋体" w:hAnsi="宋体" w:cs="宋体" w:hint="eastAsia"/>
          <w:lang w:eastAsia="zh-CN"/>
        </w:rPr>
        <w:t>统一</w:t>
      </w:r>
      <w:r w:rsidRPr="00FC53B3">
        <w:rPr>
          <w:lang w:eastAsia="zh-CN"/>
        </w:rPr>
        <w:t xml:space="preserve"> YOLO </w:t>
      </w:r>
      <w:r w:rsidRPr="00FC53B3">
        <w:rPr>
          <w:rFonts w:ascii="宋体" w:eastAsia="宋体" w:hAnsi="宋体" w:cs="宋体" w:hint="eastAsia"/>
          <w:lang w:eastAsia="zh-CN"/>
        </w:rPr>
        <w:t>训练属于各方案共同的评价环节，因此不计入不同标签生产流程之间的差异成本；由特定流程额外产生的返工或重训投入则单独记录。</w:t>
      </w:r>
    </w:p>
    <w:p w14:paraId="64AE01AE" w14:textId="77777777" w:rsidR="00FC53B3" w:rsidRPr="00FC53B3" w:rsidRDefault="00FC53B3" w:rsidP="00FC53B3">
      <w:pPr>
        <w:ind w:firstLine="420"/>
        <w:jc w:val="both"/>
        <w:rPr>
          <w:lang w:eastAsia="zh-CN"/>
        </w:rPr>
      </w:pPr>
      <w:r w:rsidRPr="00FC53B3">
        <w:rPr>
          <w:rFonts w:ascii="宋体" w:eastAsia="宋体" w:hAnsi="宋体" w:cs="宋体" w:hint="eastAsia"/>
          <w:lang w:eastAsia="zh-CN"/>
        </w:rPr>
        <w:lastRenderedPageBreak/>
        <w:t>在规模分析中，根据实测吞吐率和固定启动开销，对</w:t>
      </w:r>
      <w:r w:rsidRPr="00FC53B3">
        <w:rPr>
          <w:lang w:eastAsia="zh-CN"/>
        </w:rPr>
        <w:t xml:space="preserve"> 1k</w:t>
      </w:r>
      <w:r w:rsidRPr="00FC53B3">
        <w:rPr>
          <w:rFonts w:ascii="宋体" w:eastAsia="宋体" w:hAnsi="宋体" w:cs="宋体" w:hint="eastAsia"/>
          <w:lang w:eastAsia="zh-CN"/>
        </w:rPr>
        <w:t>、</w:t>
      </w:r>
      <w:r w:rsidRPr="00FC53B3">
        <w:rPr>
          <w:lang w:eastAsia="zh-CN"/>
        </w:rPr>
        <w:t xml:space="preserve">10k </w:t>
      </w:r>
      <w:r w:rsidRPr="00FC53B3">
        <w:rPr>
          <w:rFonts w:ascii="宋体" w:eastAsia="宋体" w:hAnsi="宋体" w:cs="宋体" w:hint="eastAsia"/>
          <w:lang w:eastAsia="zh-CN"/>
        </w:rPr>
        <w:t>和</w:t>
      </w:r>
      <w:r w:rsidRPr="00FC53B3">
        <w:rPr>
          <w:lang w:eastAsia="zh-CN"/>
        </w:rPr>
        <w:t xml:space="preserve"> 100k </w:t>
      </w:r>
      <w:r w:rsidRPr="00FC53B3">
        <w:rPr>
          <w:rFonts w:ascii="宋体" w:eastAsia="宋体" w:hAnsi="宋体" w:cs="宋体" w:hint="eastAsia"/>
          <w:lang w:eastAsia="zh-CN"/>
        </w:rPr>
        <w:t>三种数据规模进行推演，并分别报告</w:t>
      </w:r>
      <w:r w:rsidRPr="00FC53B3">
        <w:rPr>
          <w:lang w:eastAsia="zh-CN"/>
        </w:rPr>
        <w:t xml:space="preserve"> GPU </w:t>
      </w:r>
      <w:r w:rsidRPr="00FC53B3">
        <w:rPr>
          <w:rFonts w:ascii="宋体" w:eastAsia="宋体" w:hAnsi="宋体" w:cs="宋体" w:hint="eastAsia"/>
          <w:lang w:eastAsia="zh-CN"/>
        </w:rPr>
        <w:t>机时、人工工时和实际交付周期。进一步通过人工单价、</w:t>
      </w:r>
      <w:r w:rsidRPr="00FC53B3">
        <w:rPr>
          <w:lang w:eastAsia="zh-CN"/>
        </w:rPr>
        <w:t xml:space="preserve">GPU </w:t>
      </w:r>
      <w:r w:rsidRPr="00FC53B3">
        <w:rPr>
          <w:rFonts w:ascii="宋体" w:eastAsia="宋体" w:hAnsi="宋体" w:cs="宋体" w:hint="eastAsia"/>
          <w:lang w:eastAsia="zh-CN"/>
        </w:rPr>
        <w:t>单价及审核效率变化，对主要结论进行敏感性分析。</w:t>
      </w:r>
    </w:p>
    <w:p w14:paraId="6AF3B7A2" w14:textId="23885B6D" w:rsidR="00376CE4" w:rsidRPr="00FC53B3" w:rsidRDefault="00376CE4">
      <w:pPr>
        <w:ind w:firstLine="420"/>
        <w:jc w:val="both"/>
        <w:rPr>
          <w:lang w:eastAsia="zh-CN"/>
        </w:rPr>
      </w:pPr>
    </w:p>
    <w:p w14:paraId="22D8C2A8" w14:textId="77777777" w:rsidR="00376CE4" w:rsidRDefault="00BD4032">
      <w:pPr>
        <w:pStyle w:val="21"/>
        <w:spacing w:before="140" w:after="100"/>
        <w:rPr>
          <w:lang w:eastAsia="zh-CN"/>
        </w:rPr>
      </w:pPr>
      <w:r>
        <w:rPr>
          <w:rFonts w:ascii="Arial" w:eastAsia="Noto Sans CJK SC" w:hAnsi="Arial"/>
          <w:lang w:eastAsia="zh-CN"/>
        </w:rPr>
        <w:t xml:space="preserve">6.4 </w:t>
      </w:r>
      <w:r>
        <w:rPr>
          <w:rFonts w:ascii="Arial" w:eastAsia="Noto Sans CJK SC" w:hAnsi="Arial"/>
          <w:lang w:eastAsia="zh-CN"/>
        </w:rPr>
        <w:t>建议替换：</w:t>
      </w:r>
      <w:r>
        <w:rPr>
          <w:rFonts w:ascii="Arial" w:eastAsia="Noto Sans CJK SC" w:hAnsi="Arial"/>
          <w:lang w:eastAsia="zh-CN"/>
        </w:rPr>
        <w:t xml:space="preserve">7.1-7.4 </w:t>
      </w:r>
      <w:r>
        <w:rPr>
          <w:rFonts w:ascii="Arial" w:eastAsia="Noto Sans CJK SC" w:hAnsi="Arial"/>
          <w:lang w:eastAsia="zh-CN"/>
        </w:rPr>
        <w:t>流程评价与多规模选型</w:t>
      </w:r>
    </w:p>
    <w:p w14:paraId="70B063CC" w14:textId="2C477020" w:rsidR="00376CE4" w:rsidRDefault="00BD4032">
      <w:pPr>
        <w:ind w:firstLine="420"/>
        <w:jc w:val="both"/>
        <w:rPr>
          <w:lang w:eastAsia="zh-CN"/>
        </w:rPr>
      </w:pPr>
      <w:r>
        <w:rPr>
          <w:lang w:eastAsia="zh-CN"/>
        </w:rPr>
        <w:t xml:space="preserve">7.1 </w:t>
      </w:r>
      <w:r>
        <w:rPr>
          <w:lang w:eastAsia="zh-CN"/>
        </w:rPr>
        <w:t>基准与候选流程。</w:t>
      </w:r>
      <w:r w:rsidR="00DC4118" w:rsidRPr="00DC4118">
        <w:rPr>
          <w:rFonts w:ascii="宋体" w:eastAsia="宋体" w:hAnsi="宋体" w:cs="宋体" w:hint="eastAsia"/>
          <w:lang w:eastAsia="zh-CN"/>
        </w:rPr>
        <w:t>最终比较对象包括人工逐框标注、</w:t>
      </w:r>
      <w:r w:rsidR="00DC4118" w:rsidRPr="00DC4118">
        <w:rPr>
          <w:lang w:eastAsia="zh-CN"/>
        </w:rPr>
        <w:t>Grounding DINO V1</w:t>
      </w:r>
      <w:r w:rsidR="00DC4118" w:rsidRPr="00DC4118">
        <w:rPr>
          <w:rFonts w:ascii="宋体" w:eastAsia="宋体" w:hAnsi="宋体" w:cs="宋体" w:hint="eastAsia"/>
          <w:lang w:eastAsia="zh-CN"/>
        </w:rPr>
        <w:t>，以及通过前述验证的</w:t>
      </w:r>
      <w:r w:rsidR="00DC4118" w:rsidRPr="00DC4118">
        <w:rPr>
          <w:lang w:eastAsia="zh-CN"/>
        </w:rPr>
        <w:t xml:space="preserve"> SAM3 </w:t>
      </w:r>
      <w:r w:rsidR="00DC4118" w:rsidRPr="00DC4118">
        <w:rPr>
          <w:rFonts w:ascii="宋体" w:eastAsia="宋体" w:hAnsi="宋体" w:cs="宋体" w:hint="eastAsia"/>
          <w:lang w:eastAsia="zh-CN"/>
        </w:rPr>
        <w:t>级联方案。开发集、</w:t>
      </w:r>
      <w:r w:rsidR="00DC4118" w:rsidRPr="00DC4118">
        <w:rPr>
          <w:lang w:eastAsia="zh-CN"/>
        </w:rPr>
        <w:t xml:space="preserve">Reference </w:t>
      </w:r>
      <w:r w:rsidR="00DC4118" w:rsidRPr="00DC4118">
        <w:rPr>
          <w:rFonts w:ascii="宋体" w:eastAsia="宋体" w:hAnsi="宋体" w:cs="宋体" w:hint="eastAsia"/>
          <w:lang w:eastAsia="zh-CN"/>
        </w:rPr>
        <w:t>数据和隔离测试集用于流程评价，不参与标签生产方案之间的成本比较</w:t>
      </w:r>
      <w:r>
        <w:rPr>
          <w:lang w:eastAsia="zh-CN"/>
        </w:rPr>
        <w:t>。</w:t>
      </w:r>
    </w:p>
    <w:p w14:paraId="39F16EDD" w14:textId="25A2C9EA" w:rsidR="00376CE4" w:rsidRDefault="00BD4032">
      <w:pPr>
        <w:ind w:firstLine="420"/>
        <w:jc w:val="both"/>
        <w:rPr>
          <w:lang w:eastAsia="zh-CN"/>
        </w:rPr>
      </w:pPr>
      <w:r>
        <w:rPr>
          <w:lang w:eastAsia="zh-CN"/>
        </w:rPr>
        <w:t xml:space="preserve">7.2 </w:t>
      </w:r>
      <w:r w:rsidR="00DC73F9" w:rsidRPr="00DC73F9">
        <w:rPr>
          <w:rFonts w:ascii="宋体" w:eastAsia="宋体" w:hAnsi="宋体" w:cs="宋体" w:hint="eastAsia"/>
          <w:lang w:eastAsia="zh-CN"/>
        </w:rPr>
        <w:t>流程评价主要考虑三个维度：下游检测效用、标签制备成本和交付周期。下游效用以统一</w:t>
      </w:r>
      <w:r w:rsidR="00DC73F9" w:rsidRPr="00DC73F9">
        <w:rPr>
          <w:lang w:eastAsia="zh-CN"/>
        </w:rPr>
        <w:t xml:space="preserve"> YOLO </w:t>
      </w:r>
      <w:r w:rsidR="00DC73F9" w:rsidRPr="00DC73F9">
        <w:rPr>
          <w:rFonts w:ascii="宋体" w:eastAsia="宋体" w:hAnsi="宋体" w:cs="宋体" w:hint="eastAsia"/>
          <w:lang w:eastAsia="zh-CN"/>
        </w:rPr>
        <w:t>训练协议下的</w:t>
      </w:r>
      <w:r w:rsidR="00DC73F9" w:rsidRPr="00DC73F9">
        <w:rPr>
          <w:lang w:eastAsia="zh-CN"/>
        </w:rPr>
        <w:t xml:space="preserve"> mAP50:95 </w:t>
      </w:r>
      <w:r w:rsidR="00DC73F9" w:rsidRPr="00DC73F9">
        <w:rPr>
          <w:rFonts w:ascii="宋体" w:eastAsia="宋体" w:hAnsi="宋体" w:cs="宋体" w:hint="eastAsia"/>
          <w:lang w:eastAsia="zh-CN"/>
        </w:rPr>
        <w:t>为主要指标，同时报告</w:t>
      </w:r>
      <w:r w:rsidR="00DC73F9" w:rsidRPr="00DC73F9">
        <w:rPr>
          <w:lang w:eastAsia="zh-CN"/>
        </w:rPr>
        <w:t xml:space="preserve"> Precision</w:t>
      </w:r>
      <w:r w:rsidR="00DC73F9" w:rsidRPr="00DC73F9">
        <w:rPr>
          <w:rFonts w:ascii="宋体" w:eastAsia="宋体" w:hAnsi="宋体" w:cs="宋体" w:hint="eastAsia"/>
          <w:lang w:eastAsia="zh-CN"/>
        </w:rPr>
        <w:t>、</w:t>
      </w:r>
      <w:r w:rsidR="00DC73F9" w:rsidRPr="00DC73F9">
        <w:rPr>
          <w:lang w:eastAsia="zh-CN"/>
        </w:rPr>
        <w:t xml:space="preserve">Recall </w:t>
      </w:r>
      <w:r w:rsidR="00DC73F9" w:rsidRPr="00DC73F9">
        <w:rPr>
          <w:rFonts w:ascii="宋体" w:eastAsia="宋体" w:hAnsi="宋体" w:cs="宋体" w:hint="eastAsia"/>
          <w:lang w:eastAsia="zh-CN"/>
        </w:rPr>
        <w:t>和</w:t>
      </w:r>
      <w:r w:rsidR="00DC73F9" w:rsidRPr="00DC73F9">
        <w:rPr>
          <w:lang w:eastAsia="zh-CN"/>
        </w:rPr>
        <w:t xml:space="preserve"> mAP50</w:t>
      </w:r>
      <w:r w:rsidR="00DC73F9" w:rsidRPr="00DC73F9">
        <w:rPr>
          <w:rFonts w:ascii="宋体" w:eastAsia="宋体" w:hAnsi="宋体" w:cs="宋体" w:hint="eastAsia"/>
          <w:lang w:eastAsia="zh-CN"/>
        </w:rPr>
        <w:t>；成本包括模型推理和人工标注、复核、修正投入；交付周期按形成可训练标签版本所需的实际</w:t>
      </w:r>
      <w:r w:rsidR="00DC73F9" w:rsidRPr="00DC73F9">
        <w:rPr>
          <w:lang w:eastAsia="zh-CN"/>
        </w:rPr>
        <w:t xml:space="preserve"> wall-clock </w:t>
      </w:r>
      <w:r w:rsidR="00DC73F9" w:rsidRPr="00DC73F9">
        <w:rPr>
          <w:rFonts w:ascii="宋体" w:eastAsia="宋体" w:hAnsi="宋体" w:cs="宋体" w:hint="eastAsia"/>
          <w:lang w:eastAsia="zh-CN"/>
        </w:rPr>
        <w:t>时间计算</w:t>
      </w:r>
      <w:r>
        <w:rPr>
          <w:lang w:eastAsia="zh-CN"/>
        </w:rPr>
        <w:t>。</w:t>
      </w:r>
    </w:p>
    <w:p w14:paraId="7E36E188" w14:textId="5D34EE8E" w:rsidR="00376CE4" w:rsidRDefault="00BD4032">
      <w:pPr>
        <w:ind w:firstLine="420"/>
        <w:jc w:val="both"/>
        <w:rPr>
          <w:lang w:eastAsia="zh-CN"/>
        </w:rPr>
      </w:pPr>
      <w:r>
        <w:rPr>
          <w:lang w:eastAsia="zh-CN"/>
        </w:rPr>
        <w:t xml:space="preserve">7.3 </w:t>
      </w:r>
      <w:r>
        <w:rPr>
          <w:lang w:eastAsia="zh-CN"/>
        </w:rPr>
        <w:t>多规模情景。</w:t>
      </w:r>
      <w:r w:rsidR="00972A62" w:rsidRPr="00972A62">
        <w:rPr>
          <w:rFonts w:ascii="宋体" w:eastAsia="宋体" w:hAnsi="宋体" w:cs="宋体" w:hint="eastAsia"/>
          <w:lang w:eastAsia="zh-CN"/>
        </w:rPr>
        <w:t>分别在</w:t>
      </w:r>
      <w:r w:rsidR="00972A62" w:rsidRPr="00972A62">
        <w:rPr>
          <w:lang w:eastAsia="zh-CN"/>
        </w:rPr>
        <w:t xml:space="preserve"> 1k</w:t>
      </w:r>
      <w:r w:rsidR="00972A62" w:rsidRPr="00972A62">
        <w:rPr>
          <w:rFonts w:ascii="宋体" w:eastAsia="宋体" w:hAnsi="宋体" w:cs="宋体" w:hint="eastAsia"/>
          <w:lang w:eastAsia="zh-CN"/>
        </w:rPr>
        <w:t>、</w:t>
      </w:r>
      <w:r w:rsidR="00972A62" w:rsidRPr="00972A62">
        <w:rPr>
          <w:lang w:eastAsia="zh-CN"/>
        </w:rPr>
        <w:t xml:space="preserve">10k </w:t>
      </w:r>
      <w:r w:rsidR="00972A62" w:rsidRPr="00972A62">
        <w:rPr>
          <w:rFonts w:ascii="宋体" w:eastAsia="宋体" w:hAnsi="宋体" w:cs="宋体" w:hint="eastAsia"/>
          <w:lang w:eastAsia="zh-CN"/>
        </w:rPr>
        <w:t>和</w:t>
      </w:r>
      <w:r w:rsidR="00972A62" w:rsidRPr="00972A62">
        <w:rPr>
          <w:lang w:eastAsia="zh-CN"/>
        </w:rPr>
        <w:t xml:space="preserve"> 100k </w:t>
      </w:r>
      <w:r w:rsidR="00972A62" w:rsidRPr="00972A62">
        <w:rPr>
          <w:rFonts w:ascii="宋体" w:eastAsia="宋体" w:hAnsi="宋体" w:cs="宋体" w:hint="eastAsia"/>
          <w:lang w:eastAsia="zh-CN"/>
        </w:rPr>
        <w:t>三种代表性规模下测算各流程的资源投入，并比较不同方案随数据规模扩大产生的成本、人工负担和交付周期变化</w:t>
      </w:r>
      <w:r>
        <w:rPr>
          <w:lang w:eastAsia="zh-CN"/>
        </w:rPr>
        <w:t>。</w:t>
      </w:r>
    </w:p>
    <w:p w14:paraId="697C71DF" w14:textId="71B57F95" w:rsidR="00052879" w:rsidRPr="009C3B34" w:rsidRDefault="00BD4032" w:rsidP="009C3B34">
      <w:pPr>
        <w:ind w:firstLine="420"/>
        <w:jc w:val="both"/>
        <w:rPr>
          <w:rFonts w:eastAsia="宋体" w:hint="eastAsia"/>
          <w:lang w:eastAsia="zh-CN"/>
        </w:rPr>
      </w:pPr>
      <w:r>
        <w:rPr>
          <w:lang w:eastAsia="zh-CN"/>
        </w:rPr>
        <w:t xml:space="preserve">7.4 </w:t>
      </w:r>
      <w:r w:rsidR="00052879">
        <w:rPr>
          <w:rFonts w:ascii="宋体" w:eastAsia="宋体" w:hAnsi="宋体" w:cs="宋体" w:hint="eastAsia"/>
          <w:lang w:eastAsia="zh-CN"/>
        </w:rPr>
        <w:t>首先依据下游效用和</w:t>
      </w:r>
      <w:r w:rsidR="00052879">
        <w:rPr>
          <w:lang w:eastAsia="zh-CN"/>
        </w:rPr>
        <w:t xml:space="preserve"> Recall </w:t>
      </w:r>
      <w:r w:rsidR="00052879">
        <w:rPr>
          <w:rFonts w:ascii="宋体" w:eastAsia="宋体" w:hAnsi="宋体" w:cs="宋体" w:hint="eastAsia"/>
          <w:lang w:eastAsia="zh-CN"/>
        </w:rPr>
        <w:t>等指标判断流程是否满足基本质量要求；随后对满足要求的方案进行</w:t>
      </w:r>
      <w:r w:rsidR="00052879">
        <w:rPr>
          <w:lang w:eastAsia="zh-CN"/>
        </w:rPr>
        <w:t xml:space="preserve"> Pareto </w:t>
      </w:r>
      <w:r w:rsidR="00052879">
        <w:rPr>
          <w:rFonts w:ascii="宋体" w:eastAsia="宋体" w:hAnsi="宋体" w:cs="宋体" w:hint="eastAsia"/>
          <w:lang w:eastAsia="zh-CN"/>
        </w:rPr>
        <w:t>非支配比较，排除在质量、成本和交付周期上均缺乏优势的流程。对于保留的非支配方案，再根据高可靠、快速迭代和大规模生产等不同应用条件确定推荐流程。</w:t>
      </w:r>
    </w:p>
    <w:p w14:paraId="1A772907" w14:textId="5FB0AAC1" w:rsidR="00376CE4" w:rsidRDefault="00052879" w:rsidP="00052879">
      <w:pPr>
        <w:ind w:firstLine="420"/>
        <w:jc w:val="both"/>
        <w:rPr>
          <w:rFonts w:ascii="宋体" w:eastAsia="宋体" w:hAnsi="宋体" w:cs="宋体"/>
          <w:lang w:eastAsia="zh-CN"/>
        </w:rPr>
      </w:pPr>
      <w:r>
        <w:rPr>
          <w:lang w:eastAsia="zh-CN"/>
        </w:rPr>
        <w:t xml:space="preserve">SAM3 </w:t>
      </w:r>
      <w:r>
        <w:rPr>
          <w:rFonts w:ascii="宋体" w:eastAsia="宋体" w:hAnsi="宋体" w:cs="宋体" w:hint="eastAsia"/>
          <w:lang w:eastAsia="zh-CN"/>
        </w:rPr>
        <w:t>级联方案只有在前述实验中取得稳定的效用增益后才作为正式</w:t>
      </w:r>
      <w:r>
        <w:rPr>
          <w:lang w:eastAsia="zh-CN"/>
        </w:rPr>
        <w:t xml:space="preserve"> V2 </w:t>
      </w:r>
      <w:r>
        <w:rPr>
          <w:rFonts w:ascii="宋体" w:eastAsia="宋体" w:hAnsi="宋体" w:cs="宋体" w:hint="eastAsia"/>
          <w:lang w:eastAsia="zh-CN"/>
        </w:rPr>
        <w:t>参与比较；若其相对</w:t>
      </w:r>
      <w:r>
        <w:rPr>
          <w:lang w:eastAsia="zh-CN"/>
        </w:rPr>
        <w:t xml:space="preserve"> V1 </w:t>
      </w:r>
      <w:r>
        <w:rPr>
          <w:rFonts w:ascii="宋体" w:eastAsia="宋体" w:hAnsi="宋体" w:cs="宋体" w:hint="eastAsia"/>
          <w:lang w:eastAsia="zh-CN"/>
        </w:rPr>
        <w:t>未体现稳定优势，则最终自动化方案保留</w:t>
      </w:r>
      <w:r>
        <w:rPr>
          <w:lang w:eastAsia="zh-CN"/>
        </w:rPr>
        <w:t xml:space="preserve"> V1</w:t>
      </w:r>
      <w:r w:rsidR="00BD4032">
        <w:rPr>
          <w:rFonts w:ascii="宋体" w:eastAsia="宋体" w:hAnsi="宋体" w:cs="宋体" w:hint="eastAsia"/>
          <w:lang w:eastAsia="zh-CN"/>
        </w:rPr>
        <w:t>。</w:t>
      </w:r>
    </w:p>
    <w:p w14:paraId="6F9196DD" w14:textId="77777777" w:rsidR="00D16223" w:rsidRDefault="00D16223" w:rsidP="00052879">
      <w:pPr>
        <w:ind w:firstLine="420"/>
        <w:jc w:val="both"/>
        <w:rPr>
          <w:rFonts w:ascii="宋体" w:eastAsia="宋体" w:hAnsi="宋体" w:cs="宋体"/>
          <w:lang w:eastAsia="zh-CN"/>
        </w:rPr>
      </w:pPr>
    </w:p>
    <w:p w14:paraId="4E12DAB7" w14:textId="7805318F" w:rsidR="00D16223" w:rsidRDefault="00D16223" w:rsidP="00052879">
      <w:pPr>
        <w:ind w:firstLine="420"/>
        <w:jc w:val="both"/>
        <w:rPr>
          <w:rFonts w:ascii="宋体" w:eastAsia="宋体" w:hAnsi="宋体" w:cs="宋体"/>
          <w:lang w:eastAsia="zh-CN"/>
        </w:rPr>
      </w:pPr>
      <w:r w:rsidRPr="00D16223">
        <w:rPr>
          <w:rFonts w:ascii="宋体" w:eastAsia="宋体" w:hAnsi="宋体" w:cs="宋体"/>
          <w:lang w:eastAsia="zh-CN"/>
        </w:rPr>
        <w:t>不同规模与应用场景下的标签流程选型设计</w:t>
      </w:r>
    </w:p>
    <w:tbl>
      <w:tblPr>
        <w:tblW w:w="5000" w:type="pct"/>
        <w:tblLook w:val="04A0" w:firstRow="1" w:lastRow="0" w:firstColumn="1" w:lastColumn="0" w:noHBand="0" w:noVBand="1"/>
      </w:tblPr>
      <w:tblGrid>
        <w:gridCol w:w="2815"/>
        <w:gridCol w:w="1076"/>
        <w:gridCol w:w="1076"/>
        <w:gridCol w:w="4541"/>
      </w:tblGrid>
      <w:tr w:rsidR="00D16223" w:rsidRPr="00D16223" w14:paraId="02BA590A" w14:textId="77777777" w:rsidTr="00D16223">
        <w:trPr>
          <w:trHeight w:val="625"/>
        </w:trPr>
        <w:tc>
          <w:tcPr>
            <w:tcW w:w="1480" w:type="pct"/>
            <w:tcBorders>
              <w:top w:val="nil"/>
              <w:left w:val="nil"/>
              <w:bottom w:val="single" w:sz="8" w:space="0" w:color="DFE2E5"/>
              <w:right w:val="single" w:sz="8" w:space="0" w:color="DFE2E5"/>
            </w:tcBorders>
            <w:shd w:val="clear" w:color="auto" w:fill="FFFFFF"/>
            <w:vAlign w:val="center"/>
            <w:hideMark/>
          </w:tcPr>
          <w:p w14:paraId="49F4F553" w14:textId="77777777" w:rsidR="00D16223" w:rsidRPr="00D16223" w:rsidRDefault="00D16223" w:rsidP="00D16223">
            <w:pPr>
              <w:spacing w:line="240" w:lineRule="auto"/>
              <w:jc w:val="center"/>
              <w:rPr>
                <w:rFonts w:ascii="Segoe UI" w:eastAsia="宋体" w:hAnsi="Segoe UI" w:cs="Segoe UI"/>
                <w:b/>
                <w:bCs/>
                <w:color w:val="3C3C58"/>
                <w:sz w:val="21"/>
                <w:szCs w:val="21"/>
                <w:lang w:eastAsia="zh-CN"/>
              </w:rPr>
            </w:pPr>
            <w:r w:rsidRPr="00D16223">
              <w:rPr>
                <w:rFonts w:ascii="Segoe UI" w:eastAsia="宋体" w:hAnsi="Segoe UI" w:cs="Segoe UI"/>
                <w:b/>
                <w:bCs/>
                <w:color w:val="3C3C58"/>
                <w:sz w:val="21"/>
                <w:szCs w:val="21"/>
                <w:lang w:eastAsia="zh-CN"/>
              </w:rPr>
              <w:t>规模</w:t>
            </w:r>
            <w:r w:rsidRPr="00D16223">
              <w:rPr>
                <w:rFonts w:ascii="Segoe UI" w:eastAsia="宋体" w:hAnsi="Segoe UI" w:cs="Segoe UI"/>
                <w:b/>
                <w:bCs/>
                <w:color w:val="3C3C58"/>
                <w:sz w:val="21"/>
                <w:szCs w:val="21"/>
                <w:lang w:eastAsia="zh-CN"/>
              </w:rPr>
              <w:t>/</w:t>
            </w:r>
            <w:r w:rsidRPr="00D16223">
              <w:rPr>
                <w:rFonts w:ascii="Segoe UI" w:eastAsia="宋体" w:hAnsi="Segoe UI" w:cs="Segoe UI"/>
                <w:b/>
                <w:bCs/>
                <w:color w:val="3C3C58"/>
                <w:sz w:val="21"/>
                <w:szCs w:val="21"/>
                <w:lang w:eastAsia="zh-CN"/>
              </w:rPr>
              <w:t>场景</w:t>
            </w:r>
          </w:p>
        </w:tc>
        <w:tc>
          <w:tcPr>
            <w:tcW w:w="566" w:type="pct"/>
            <w:tcBorders>
              <w:top w:val="nil"/>
              <w:left w:val="single" w:sz="8" w:space="0" w:color="DFE2E5"/>
              <w:bottom w:val="single" w:sz="8" w:space="0" w:color="DFE2E5"/>
              <w:right w:val="single" w:sz="8" w:space="0" w:color="DFE2E5"/>
            </w:tcBorders>
            <w:shd w:val="clear" w:color="auto" w:fill="FFFFFF"/>
            <w:vAlign w:val="center"/>
            <w:hideMark/>
          </w:tcPr>
          <w:p w14:paraId="55745927" w14:textId="77777777" w:rsidR="00D16223" w:rsidRPr="00D16223" w:rsidRDefault="00D16223" w:rsidP="00D16223">
            <w:pPr>
              <w:spacing w:line="240" w:lineRule="auto"/>
              <w:jc w:val="center"/>
              <w:rPr>
                <w:rFonts w:ascii="Segoe UI" w:eastAsia="宋体" w:hAnsi="Segoe UI" w:cs="Segoe UI"/>
                <w:b/>
                <w:bCs/>
                <w:color w:val="3C3C58"/>
                <w:sz w:val="21"/>
                <w:szCs w:val="21"/>
                <w:lang w:eastAsia="zh-CN"/>
              </w:rPr>
            </w:pPr>
            <w:r w:rsidRPr="00D16223">
              <w:rPr>
                <w:rFonts w:ascii="Segoe UI" w:eastAsia="宋体" w:hAnsi="Segoe UI" w:cs="Segoe UI"/>
                <w:b/>
                <w:bCs/>
                <w:color w:val="3C3C58"/>
                <w:sz w:val="21"/>
                <w:szCs w:val="21"/>
                <w:lang w:eastAsia="zh-CN"/>
              </w:rPr>
              <w:t>主要约束</w:t>
            </w:r>
          </w:p>
        </w:tc>
        <w:tc>
          <w:tcPr>
            <w:tcW w:w="566" w:type="pct"/>
            <w:tcBorders>
              <w:top w:val="nil"/>
              <w:left w:val="single" w:sz="8" w:space="0" w:color="DFE2E5"/>
              <w:bottom w:val="single" w:sz="8" w:space="0" w:color="DFE2E5"/>
              <w:right w:val="single" w:sz="8" w:space="0" w:color="DFE2E5"/>
            </w:tcBorders>
            <w:shd w:val="clear" w:color="auto" w:fill="FFFFFF"/>
            <w:vAlign w:val="center"/>
            <w:hideMark/>
          </w:tcPr>
          <w:p w14:paraId="6B8D0B80" w14:textId="77777777" w:rsidR="00D16223" w:rsidRPr="00D16223" w:rsidRDefault="00D16223" w:rsidP="00D16223">
            <w:pPr>
              <w:spacing w:line="240" w:lineRule="auto"/>
              <w:jc w:val="center"/>
              <w:rPr>
                <w:rFonts w:ascii="Segoe UI" w:eastAsia="宋体" w:hAnsi="Segoe UI" w:cs="Segoe UI"/>
                <w:b/>
                <w:bCs/>
                <w:color w:val="3C3C58"/>
                <w:sz w:val="21"/>
                <w:szCs w:val="21"/>
                <w:lang w:eastAsia="zh-CN"/>
              </w:rPr>
            </w:pPr>
            <w:r w:rsidRPr="00D16223">
              <w:rPr>
                <w:rFonts w:ascii="Segoe UI" w:eastAsia="宋体" w:hAnsi="Segoe UI" w:cs="Segoe UI"/>
                <w:b/>
                <w:bCs/>
                <w:color w:val="3C3C58"/>
                <w:sz w:val="21"/>
                <w:szCs w:val="21"/>
                <w:lang w:eastAsia="zh-CN"/>
              </w:rPr>
              <w:t>Pareto</w:t>
            </w:r>
            <w:r w:rsidRPr="00D16223">
              <w:rPr>
                <w:rFonts w:ascii="Segoe UI" w:eastAsia="宋体" w:hAnsi="Segoe UI" w:cs="Segoe UI"/>
                <w:b/>
                <w:bCs/>
                <w:color w:val="3C3C58"/>
                <w:sz w:val="21"/>
                <w:szCs w:val="21"/>
                <w:lang w:eastAsia="zh-CN"/>
              </w:rPr>
              <w:t>比较重点</w:t>
            </w:r>
          </w:p>
        </w:tc>
        <w:tc>
          <w:tcPr>
            <w:tcW w:w="2388" w:type="pct"/>
            <w:tcBorders>
              <w:top w:val="nil"/>
              <w:left w:val="single" w:sz="8" w:space="0" w:color="DFE2E5"/>
              <w:bottom w:val="single" w:sz="8" w:space="0" w:color="DFE2E5"/>
              <w:right w:val="nil"/>
            </w:tcBorders>
            <w:shd w:val="clear" w:color="auto" w:fill="FFFFFF"/>
            <w:vAlign w:val="center"/>
            <w:hideMark/>
          </w:tcPr>
          <w:p w14:paraId="1CFF21A4" w14:textId="77777777" w:rsidR="00D16223" w:rsidRPr="00D16223" w:rsidRDefault="00D16223" w:rsidP="00D16223">
            <w:pPr>
              <w:spacing w:line="240" w:lineRule="auto"/>
              <w:jc w:val="center"/>
              <w:rPr>
                <w:rFonts w:ascii="Segoe UI" w:eastAsia="宋体" w:hAnsi="Segoe UI" w:cs="Segoe UI"/>
                <w:b/>
                <w:bCs/>
                <w:color w:val="3C3C58"/>
                <w:sz w:val="21"/>
                <w:szCs w:val="21"/>
                <w:lang w:eastAsia="zh-CN"/>
              </w:rPr>
            </w:pPr>
            <w:r w:rsidRPr="00D16223">
              <w:rPr>
                <w:rFonts w:ascii="Segoe UI" w:eastAsia="宋体" w:hAnsi="Segoe UI" w:cs="Segoe UI"/>
                <w:b/>
                <w:bCs/>
                <w:color w:val="3C3C58"/>
                <w:sz w:val="21"/>
                <w:szCs w:val="21"/>
                <w:lang w:eastAsia="zh-CN"/>
              </w:rPr>
              <w:t>选型规则</w:t>
            </w:r>
          </w:p>
        </w:tc>
      </w:tr>
      <w:tr w:rsidR="00D16223" w:rsidRPr="00D16223" w14:paraId="6B956833" w14:textId="77777777" w:rsidTr="00D16223">
        <w:trPr>
          <w:trHeight w:val="2045"/>
        </w:trPr>
        <w:tc>
          <w:tcPr>
            <w:tcW w:w="1480" w:type="pct"/>
            <w:tcBorders>
              <w:top w:val="single" w:sz="8" w:space="0" w:color="DFE2E5"/>
              <w:left w:val="nil"/>
              <w:bottom w:val="single" w:sz="8" w:space="0" w:color="DFE2E5"/>
              <w:right w:val="single" w:sz="8" w:space="0" w:color="DFE2E5"/>
            </w:tcBorders>
            <w:shd w:val="clear" w:color="auto" w:fill="FFFFFF"/>
            <w:vAlign w:val="center"/>
            <w:hideMark/>
          </w:tcPr>
          <w:p w14:paraId="41F67A8C" w14:textId="77777777" w:rsidR="00D16223" w:rsidRPr="00D16223" w:rsidRDefault="00D16223" w:rsidP="00D16223">
            <w:pPr>
              <w:spacing w:line="240" w:lineRule="auto"/>
              <w:rPr>
                <w:rFonts w:ascii="Segoe UI" w:eastAsia="宋体" w:hAnsi="Segoe UI" w:cs="Segoe UI"/>
                <w:color w:val="3C3C58"/>
                <w:sz w:val="18"/>
                <w:szCs w:val="18"/>
                <w:lang w:eastAsia="zh-CN"/>
              </w:rPr>
            </w:pPr>
            <w:r w:rsidRPr="00D16223">
              <w:rPr>
                <w:rFonts w:ascii="Segoe UI" w:eastAsia="宋体" w:hAnsi="Segoe UI" w:cs="Segoe UI"/>
                <w:color w:val="3C3C58"/>
                <w:sz w:val="18"/>
                <w:szCs w:val="18"/>
                <w:lang w:eastAsia="zh-CN"/>
              </w:rPr>
              <w:t xml:space="preserve">Reference / </w:t>
            </w:r>
            <w:r w:rsidRPr="00D16223">
              <w:rPr>
                <w:rFonts w:ascii="Segoe UI" w:eastAsia="宋体" w:hAnsi="Segoe UI" w:cs="Segoe UI"/>
                <w:color w:val="3C3C58"/>
                <w:sz w:val="18"/>
                <w:szCs w:val="18"/>
                <w:lang w:eastAsia="zh-CN"/>
              </w:rPr>
              <w:t>隔离测试集</w:t>
            </w:r>
          </w:p>
        </w:tc>
        <w:tc>
          <w:tcPr>
            <w:tcW w:w="566" w:type="pct"/>
            <w:tcBorders>
              <w:top w:val="single" w:sz="8" w:space="0" w:color="DFE2E5"/>
              <w:left w:val="single" w:sz="8" w:space="0" w:color="DFE2E5"/>
              <w:bottom w:val="single" w:sz="8" w:space="0" w:color="DFE2E5"/>
              <w:right w:val="single" w:sz="8" w:space="0" w:color="DFE2E5"/>
            </w:tcBorders>
            <w:shd w:val="clear" w:color="auto" w:fill="FFFFFF"/>
            <w:vAlign w:val="center"/>
            <w:hideMark/>
          </w:tcPr>
          <w:p w14:paraId="27C82341" w14:textId="77777777" w:rsidR="00D16223" w:rsidRPr="00D16223" w:rsidRDefault="00D16223" w:rsidP="00D16223">
            <w:pPr>
              <w:spacing w:line="240" w:lineRule="auto"/>
              <w:rPr>
                <w:rFonts w:ascii="Segoe UI" w:eastAsia="宋体" w:hAnsi="Segoe UI" w:cs="Segoe UI"/>
                <w:color w:val="3C3C58"/>
                <w:sz w:val="18"/>
                <w:szCs w:val="18"/>
                <w:lang w:eastAsia="zh-CN"/>
              </w:rPr>
            </w:pPr>
            <w:r w:rsidRPr="00D16223">
              <w:rPr>
                <w:rFonts w:ascii="Segoe UI" w:eastAsia="宋体" w:hAnsi="Segoe UI" w:cs="Segoe UI"/>
                <w:color w:val="3C3C58"/>
                <w:sz w:val="18"/>
                <w:szCs w:val="18"/>
                <w:lang w:eastAsia="zh-CN"/>
              </w:rPr>
              <w:t>评价基准独立、标签质量优先</w:t>
            </w:r>
          </w:p>
        </w:tc>
        <w:tc>
          <w:tcPr>
            <w:tcW w:w="566" w:type="pct"/>
            <w:tcBorders>
              <w:top w:val="single" w:sz="8" w:space="0" w:color="DFE2E5"/>
              <w:left w:val="single" w:sz="8" w:space="0" w:color="DFE2E5"/>
              <w:bottom w:val="single" w:sz="8" w:space="0" w:color="DFE2E5"/>
              <w:right w:val="single" w:sz="8" w:space="0" w:color="DFE2E5"/>
            </w:tcBorders>
            <w:shd w:val="clear" w:color="auto" w:fill="FFFFFF"/>
            <w:vAlign w:val="center"/>
            <w:hideMark/>
          </w:tcPr>
          <w:p w14:paraId="43FD4FA7" w14:textId="77777777" w:rsidR="00D16223" w:rsidRPr="00D16223" w:rsidRDefault="00D16223" w:rsidP="00D16223">
            <w:pPr>
              <w:spacing w:line="240" w:lineRule="auto"/>
              <w:rPr>
                <w:rFonts w:ascii="Segoe UI" w:eastAsia="宋体" w:hAnsi="Segoe UI" w:cs="Segoe UI"/>
                <w:color w:val="3C3C58"/>
                <w:sz w:val="18"/>
                <w:szCs w:val="18"/>
                <w:lang w:eastAsia="zh-CN"/>
              </w:rPr>
            </w:pPr>
            <w:r w:rsidRPr="00D16223">
              <w:rPr>
                <w:rFonts w:ascii="Segoe UI" w:eastAsia="宋体" w:hAnsi="Segoe UI" w:cs="Segoe UI"/>
                <w:color w:val="3C3C58"/>
                <w:sz w:val="18"/>
                <w:szCs w:val="18"/>
                <w:lang w:eastAsia="zh-CN"/>
              </w:rPr>
              <w:t>不参与生产流程</w:t>
            </w:r>
            <w:r w:rsidRPr="00D16223">
              <w:rPr>
                <w:rFonts w:ascii="Segoe UI" w:eastAsia="宋体" w:hAnsi="Segoe UI" w:cs="Segoe UI"/>
                <w:color w:val="3C3C58"/>
                <w:sz w:val="18"/>
                <w:szCs w:val="18"/>
                <w:lang w:eastAsia="zh-CN"/>
              </w:rPr>
              <w:t xml:space="preserve"> Pareto </w:t>
            </w:r>
            <w:r w:rsidRPr="00D16223">
              <w:rPr>
                <w:rFonts w:ascii="Segoe UI" w:eastAsia="宋体" w:hAnsi="Segoe UI" w:cs="Segoe UI"/>
                <w:color w:val="3C3C58"/>
                <w:sz w:val="18"/>
                <w:szCs w:val="18"/>
                <w:lang w:eastAsia="zh-CN"/>
              </w:rPr>
              <w:t>比较</w:t>
            </w:r>
          </w:p>
        </w:tc>
        <w:tc>
          <w:tcPr>
            <w:tcW w:w="2388" w:type="pct"/>
            <w:tcBorders>
              <w:top w:val="single" w:sz="8" w:space="0" w:color="DFE2E5"/>
              <w:left w:val="single" w:sz="8" w:space="0" w:color="DFE2E5"/>
              <w:bottom w:val="single" w:sz="8" w:space="0" w:color="DFE2E5"/>
              <w:right w:val="nil"/>
            </w:tcBorders>
            <w:shd w:val="clear" w:color="auto" w:fill="FFFFFF"/>
            <w:vAlign w:val="center"/>
            <w:hideMark/>
          </w:tcPr>
          <w:p w14:paraId="67E587BE" w14:textId="77777777" w:rsidR="00D16223" w:rsidRPr="00D16223" w:rsidRDefault="00D16223" w:rsidP="00D16223">
            <w:pPr>
              <w:spacing w:line="240" w:lineRule="auto"/>
              <w:rPr>
                <w:rFonts w:ascii="Segoe UI" w:eastAsia="宋体" w:hAnsi="Segoe UI" w:cs="Segoe UI"/>
                <w:color w:val="3C3C58"/>
                <w:sz w:val="18"/>
                <w:szCs w:val="18"/>
                <w:lang w:eastAsia="zh-CN"/>
              </w:rPr>
            </w:pPr>
            <w:r w:rsidRPr="00D16223">
              <w:rPr>
                <w:rFonts w:ascii="Segoe UI" w:eastAsia="宋体" w:hAnsi="Segoe UI" w:cs="Segoe UI"/>
                <w:color w:val="3C3C58"/>
                <w:sz w:val="18"/>
                <w:szCs w:val="18"/>
                <w:lang w:eastAsia="zh-CN"/>
              </w:rPr>
              <w:t>采用人工精细标注与复核，作为</w:t>
            </w:r>
            <w:r w:rsidRPr="00D16223">
              <w:rPr>
                <w:rFonts w:ascii="Segoe UI" w:eastAsia="宋体" w:hAnsi="Segoe UI" w:cs="Segoe UI"/>
                <w:color w:val="3C3C58"/>
                <w:sz w:val="18"/>
                <w:szCs w:val="18"/>
                <w:lang w:eastAsia="zh-CN"/>
              </w:rPr>
              <w:t xml:space="preserve"> V1</w:t>
            </w:r>
            <w:r w:rsidRPr="00D16223">
              <w:rPr>
                <w:rFonts w:ascii="Segoe UI" w:eastAsia="宋体" w:hAnsi="Segoe UI" w:cs="Segoe UI"/>
                <w:color w:val="3C3C58"/>
                <w:sz w:val="18"/>
                <w:szCs w:val="18"/>
                <w:lang w:eastAsia="zh-CN"/>
              </w:rPr>
              <w:t>、</w:t>
            </w:r>
            <w:r w:rsidRPr="00D16223">
              <w:rPr>
                <w:rFonts w:ascii="Segoe UI" w:eastAsia="宋体" w:hAnsi="Segoe UI" w:cs="Segoe UI"/>
                <w:color w:val="3C3C58"/>
                <w:sz w:val="18"/>
                <w:szCs w:val="18"/>
                <w:lang w:eastAsia="zh-CN"/>
              </w:rPr>
              <w:t xml:space="preserve">V2 </w:t>
            </w:r>
            <w:r w:rsidRPr="00D16223">
              <w:rPr>
                <w:rFonts w:ascii="Segoe UI" w:eastAsia="宋体" w:hAnsi="Segoe UI" w:cs="Segoe UI"/>
                <w:color w:val="3C3C58"/>
                <w:sz w:val="18"/>
                <w:szCs w:val="18"/>
                <w:lang w:eastAsia="zh-CN"/>
              </w:rPr>
              <w:t>效用评价的可信基准</w:t>
            </w:r>
          </w:p>
        </w:tc>
      </w:tr>
      <w:tr w:rsidR="00D16223" w:rsidRPr="00D16223" w14:paraId="17E837B2" w14:textId="77777777" w:rsidTr="00D16223">
        <w:trPr>
          <w:trHeight w:val="1095"/>
        </w:trPr>
        <w:tc>
          <w:tcPr>
            <w:tcW w:w="1480" w:type="pct"/>
            <w:tcBorders>
              <w:top w:val="single" w:sz="8" w:space="0" w:color="DFE2E5"/>
              <w:left w:val="nil"/>
              <w:bottom w:val="single" w:sz="8" w:space="0" w:color="DFE2E5"/>
              <w:right w:val="single" w:sz="8" w:space="0" w:color="DFE2E5"/>
            </w:tcBorders>
            <w:shd w:val="clear" w:color="auto" w:fill="F6F8FA"/>
            <w:vAlign w:val="center"/>
            <w:hideMark/>
          </w:tcPr>
          <w:p w14:paraId="5DCB671C" w14:textId="77777777" w:rsidR="00D16223" w:rsidRPr="00D16223" w:rsidRDefault="00D16223" w:rsidP="00D16223">
            <w:pPr>
              <w:spacing w:line="240" w:lineRule="auto"/>
              <w:rPr>
                <w:rFonts w:eastAsia="宋体" w:cs="Times New Roman"/>
                <w:color w:val="3C3C58"/>
                <w:sz w:val="18"/>
                <w:szCs w:val="18"/>
                <w:lang w:eastAsia="zh-CN"/>
              </w:rPr>
            </w:pPr>
            <w:r w:rsidRPr="00D16223">
              <w:rPr>
                <w:rFonts w:eastAsia="宋体" w:cs="Times New Roman"/>
                <w:color w:val="3C3C58"/>
                <w:sz w:val="18"/>
                <w:szCs w:val="18"/>
                <w:lang w:eastAsia="zh-CN"/>
              </w:rPr>
              <w:t>N≈1k</w:t>
            </w:r>
            <w:r w:rsidRPr="00D16223">
              <w:rPr>
                <w:rFonts w:ascii="KaTeX_Math" w:eastAsia="宋体" w:hAnsi="KaTeX_Math" w:cs="Times New Roman"/>
                <w:i/>
                <w:iCs/>
                <w:color w:val="3C3C58"/>
                <w:sz w:val="18"/>
                <w:szCs w:val="18"/>
                <w:lang w:eastAsia="zh-CN"/>
              </w:rPr>
              <w:t>N</w:t>
            </w:r>
            <w:r w:rsidRPr="00D16223">
              <w:rPr>
                <w:rFonts w:eastAsia="宋体" w:cs="Times New Roman"/>
                <w:color w:val="3C3C58"/>
                <w:sz w:val="18"/>
                <w:szCs w:val="18"/>
                <w:lang w:eastAsia="zh-CN"/>
              </w:rPr>
              <w:t>≈1</w:t>
            </w:r>
            <w:r w:rsidRPr="00D16223">
              <w:rPr>
                <w:rFonts w:ascii="KaTeX_Math" w:eastAsia="宋体" w:hAnsi="KaTeX_Math" w:cs="Times New Roman"/>
                <w:i/>
                <w:iCs/>
                <w:color w:val="3C3C58"/>
                <w:sz w:val="18"/>
                <w:szCs w:val="18"/>
                <w:lang w:eastAsia="zh-CN"/>
              </w:rPr>
              <w:t>k</w:t>
            </w:r>
            <w:r w:rsidRPr="00D16223">
              <w:rPr>
                <w:rFonts w:ascii="Segoe UI" w:eastAsia="宋体" w:hAnsi="Segoe UI" w:cs="Segoe UI"/>
                <w:color w:val="3C3C58"/>
                <w:sz w:val="18"/>
                <w:szCs w:val="18"/>
                <w:lang w:eastAsia="zh-CN"/>
              </w:rPr>
              <w:t xml:space="preserve"> </w:t>
            </w:r>
            <w:r w:rsidRPr="00D16223">
              <w:rPr>
                <w:rFonts w:ascii="Segoe UI" w:eastAsia="宋体" w:hAnsi="Segoe UI" w:cs="Segoe UI"/>
                <w:color w:val="3C3C58"/>
                <w:sz w:val="18"/>
                <w:szCs w:val="18"/>
                <w:lang w:eastAsia="zh-CN"/>
              </w:rPr>
              <w:t>轻量迭代</w:t>
            </w:r>
          </w:p>
        </w:tc>
        <w:tc>
          <w:tcPr>
            <w:tcW w:w="566" w:type="pct"/>
            <w:tcBorders>
              <w:top w:val="single" w:sz="8" w:space="0" w:color="DFE2E5"/>
              <w:left w:val="single" w:sz="8" w:space="0" w:color="DFE2E5"/>
              <w:bottom w:val="single" w:sz="8" w:space="0" w:color="DFE2E5"/>
              <w:right w:val="single" w:sz="8" w:space="0" w:color="DFE2E5"/>
            </w:tcBorders>
            <w:shd w:val="clear" w:color="auto" w:fill="F6F8FA"/>
            <w:vAlign w:val="center"/>
            <w:hideMark/>
          </w:tcPr>
          <w:p w14:paraId="5F3F7D4E" w14:textId="77777777" w:rsidR="00D16223" w:rsidRPr="00D16223" w:rsidRDefault="00D16223" w:rsidP="00D16223">
            <w:pPr>
              <w:spacing w:line="240" w:lineRule="auto"/>
              <w:rPr>
                <w:rFonts w:ascii="Segoe UI" w:eastAsia="宋体" w:hAnsi="Segoe UI" w:cs="Segoe UI"/>
                <w:color w:val="3C3C58"/>
                <w:sz w:val="18"/>
                <w:szCs w:val="18"/>
                <w:lang w:eastAsia="zh-CN"/>
              </w:rPr>
            </w:pPr>
            <w:r w:rsidRPr="00D16223">
              <w:rPr>
                <w:rFonts w:ascii="Segoe UI" w:eastAsia="宋体" w:hAnsi="Segoe UI" w:cs="Segoe UI"/>
                <w:color w:val="3C3C58"/>
                <w:sz w:val="18"/>
                <w:szCs w:val="18"/>
                <w:lang w:eastAsia="zh-CN"/>
              </w:rPr>
              <w:t>达到基本质量要求，交付周期较短</w:t>
            </w:r>
          </w:p>
        </w:tc>
        <w:tc>
          <w:tcPr>
            <w:tcW w:w="566" w:type="pct"/>
            <w:tcBorders>
              <w:top w:val="single" w:sz="8" w:space="0" w:color="DFE2E5"/>
              <w:left w:val="single" w:sz="8" w:space="0" w:color="DFE2E5"/>
              <w:bottom w:val="single" w:sz="8" w:space="0" w:color="DFE2E5"/>
              <w:right w:val="single" w:sz="8" w:space="0" w:color="DFE2E5"/>
            </w:tcBorders>
            <w:shd w:val="clear" w:color="auto" w:fill="F6F8FA"/>
            <w:vAlign w:val="center"/>
            <w:hideMark/>
          </w:tcPr>
          <w:p w14:paraId="21B6F4E7" w14:textId="77777777" w:rsidR="00D16223" w:rsidRPr="00D16223" w:rsidRDefault="00D16223" w:rsidP="00D16223">
            <w:pPr>
              <w:spacing w:line="240" w:lineRule="auto"/>
              <w:rPr>
                <w:rFonts w:ascii="Segoe UI" w:eastAsia="宋体" w:hAnsi="Segoe UI" w:cs="Segoe UI"/>
                <w:color w:val="3C3C58"/>
                <w:sz w:val="18"/>
                <w:szCs w:val="18"/>
                <w:lang w:eastAsia="zh-CN"/>
              </w:rPr>
            </w:pPr>
            <w:r w:rsidRPr="00D16223">
              <w:rPr>
                <w:rFonts w:ascii="Segoe UI" w:eastAsia="宋体" w:hAnsi="Segoe UI" w:cs="Segoe UI"/>
                <w:color w:val="3C3C58"/>
                <w:sz w:val="18"/>
                <w:szCs w:val="18"/>
                <w:lang w:eastAsia="zh-CN"/>
              </w:rPr>
              <w:t>固定启动投入、交付周期</w:t>
            </w:r>
          </w:p>
        </w:tc>
        <w:tc>
          <w:tcPr>
            <w:tcW w:w="2388" w:type="pct"/>
            <w:tcBorders>
              <w:top w:val="single" w:sz="8" w:space="0" w:color="DFE2E5"/>
              <w:left w:val="single" w:sz="8" w:space="0" w:color="DFE2E5"/>
              <w:bottom w:val="single" w:sz="8" w:space="0" w:color="DFE2E5"/>
              <w:right w:val="nil"/>
            </w:tcBorders>
            <w:shd w:val="clear" w:color="auto" w:fill="F6F8FA"/>
            <w:vAlign w:val="center"/>
            <w:hideMark/>
          </w:tcPr>
          <w:p w14:paraId="02DDF40D" w14:textId="77777777" w:rsidR="00D16223" w:rsidRPr="00D16223" w:rsidRDefault="00D16223" w:rsidP="00D16223">
            <w:pPr>
              <w:spacing w:line="240" w:lineRule="auto"/>
              <w:rPr>
                <w:rFonts w:ascii="Segoe UI" w:eastAsia="宋体" w:hAnsi="Segoe UI" w:cs="Segoe UI"/>
                <w:color w:val="3C3C58"/>
                <w:sz w:val="18"/>
                <w:szCs w:val="18"/>
                <w:lang w:eastAsia="zh-CN"/>
              </w:rPr>
            </w:pPr>
            <w:r w:rsidRPr="00D16223">
              <w:rPr>
                <w:rFonts w:ascii="Segoe UI" w:eastAsia="宋体" w:hAnsi="Segoe UI" w:cs="Segoe UI"/>
                <w:color w:val="3C3C58"/>
                <w:sz w:val="18"/>
                <w:szCs w:val="18"/>
                <w:lang w:eastAsia="zh-CN"/>
              </w:rPr>
              <w:t>在满足质量要求的方案中比较成本与交付效率；若</w:t>
            </w:r>
            <w:r w:rsidRPr="00D16223">
              <w:rPr>
                <w:rFonts w:ascii="Segoe UI" w:eastAsia="宋体" w:hAnsi="Segoe UI" w:cs="Segoe UI"/>
                <w:color w:val="3C3C58"/>
                <w:sz w:val="18"/>
                <w:szCs w:val="18"/>
                <w:lang w:eastAsia="zh-CN"/>
              </w:rPr>
              <w:t xml:space="preserve"> V1 </w:t>
            </w:r>
            <w:r w:rsidRPr="00D16223">
              <w:rPr>
                <w:rFonts w:ascii="Segoe UI" w:eastAsia="宋体" w:hAnsi="Segoe UI" w:cs="Segoe UI"/>
                <w:color w:val="3C3C58"/>
                <w:sz w:val="18"/>
                <w:szCs w:val="18"/>
                <w:lang w:eastAsia="zh-CN"/>
              </w:rPr>
              <w:t>已满足要求，则无需因增加级联节点而提高流程复杂度</w:t>
            </w:r>
          </w:p>
        </w:tc>
      </w:tr>
      <w:tr w:rsidR="00D16223" w:rsidRPr="00D16223" w14:paraId="1169BA95" w14:textId="77777777" w:rsidTr="00D16223">
        <w:trPr>
          <w:trHeight w:val="1365"/>
        </w:trPr>
        <w:tc>
          <w:tcPr>
            <w:tcW w:w="1480" w:type="pct"/>
            <w:tcBorders>
              <w:top w:val="single" w:sz="8" w:space="0" w:color="DFE2E5"/>
              <w:left w:val="nil"/>
              <w:bottom w:val="single" w:sz="8" w:space="0" w:color="DFE2E5"/>
              <w:right w:val="single" w:sz="8" w:space="0" w:color="DFE2E5"/>
            </w:tcBorders>
            <w:shd w:val="clear" w:color="auto" w:fill="FFFFFF"/>
            <w:vAlign w:val="center"/>
            <w:hideMark/>
          </w:tcPr>
          <w:p w14:paraId="42AD5825" w14:textId="77777777" w:rsidR="00D16223" w:rsidRPr="00D16223" w:rsidRDefault="00D16223" w:rsidP="00D16223">
            <w:pPr>
              <w:spacing w:line="240" w:lineRule="auto"/>
              <w:rPr>
                <w:rFonts w:eastAsia="宋体" w:cs="Times New Roman"/>
                <w:color w:val="3C3C58"/>
                <w:sz w:val="18"/>
                <w:szCs w:val="18"/>
                <w:lang w:eastAsia="zh-CN"/>
              </w:rPr>
            </w:pPr>
            <w:r w:rsidRPr="00D16223">
              <w:rPr>
                <w:rFonts w:eastAsia="宋体" w:cs="Times New Roman"/>
                <w:color w:val="3C3C58"/>
                <w:sz w:val="18"/>
                <w:szCs w:val="18"/>
                <w:lang w:eastAsia="zh-CN"/>
              </w:rPr>
              <w:lastRenderedPageBreak/>
              <w:t>N≈10k</w:t>
            </w:r>
            <w:r w:rsidRPr="00D16223">
              <w:rPr>
                <w:rFonts w:ascii="KaTeX_Math" w:eastAsia="宋体" w:hAnsi="KaTeX_Math" w:cs="Times New Roman"/>
                <w:i/>
                <w:iCs/>
                <w:color w:val="3C3C58"/>
                <w:sz w:val="18"/>
                <w:szCs w:val="18"/>
                <w:lang w:eastAsia="zh-CN"/>
              </w:rPr>
              <w:t>N</w:t>
            </w:r>
            <w:r w:rsidRPr="00D16223">
              <w:rPr>
                <w:rFonts w:eastAsia="宋体" w:cs="Times New Roman"/>
                <w:color w:val="3C3C58"/>
                <w:sz w:val="18"/>
                <w:szCs w:val="18"/>
                <w:lang w:eastAsia="zh-CN"/>
              </w:rPr>
              <w:t>≈10</w:t>
            </w:r>
            <w:r w:rsidRPr="00D16223">
              <w:rPr>
                <w:rFonts w:ascii="KaTeX_Math" w:eastAsia="宋体" w:hAnsi="KaTeX_Math" w:cs="Times New Roman"/>
                <w:i/>
                <w:iCs/>
                <w:color w:val="3C3C58"/>
                <w:sz w:val="18"/>
                <w:szCs w:val="18"/>
                <w:lang w:eastAsia="zh-CN"/>
              </w:rPr>
              <w:t>k</w:t>
            </w:r>
            <w:r w:rsidRPr="00D16223">
              <w:rPr>
                <w:rFonts w:ascii="Segoe UI" w:eastAsia="宋体" w:hAnsi="Segoe UI" w:cs="Segoe UI"/>
                <w:color w:val="3C3C58"/>
                <w:sz w:val="18"/>
                <w:szCs w:val="18"/>
                <w:lang w:eastAsia="zh-CN"/>
              </w:rPr>
              <w:t xml:space="preserve"> </w:t>
            </w:r>
            <w:r w:rsidRPr="00D16223">
              <w:rPr>
                <w:rFonts w:ascii="Segoe UI" w:eastAsia="宋体" w:hAnsi="Segoe UI" w:cs="Segoe UI"/>
                <w:color w:val="3C3C58"/>
                <w:sz w:val="18"/>
                <w:szCs w:val="18"/>
                <w:lang w:eastAsia="zh-CN"/>
              </w:rPr>
              <w:t>常规生产</w:t>
            </w:r>
          </w:p>
        </w:tc>
        <w:tc>
          <w:tcPr>
            <w:tcW w:w="566" w:type="pct"/>
            <w:tcBorders>
              <w:top w:val="single" w:sz="8" w:space="0" w:color="DFE2E5"/>
              <w:left w:val="single" w:sz="8" w:space="0" w:color="DFE2E5"/>
              <w:bottom w:val="single" w:sz="8" w:space="0" w:color="DFE2E5"/>
              <w:right w:val="single" w:sz="8" w:space="0" w:color="DFE2E5"/>
            </w:tcBorders>
            <w:shd w:val="clear" w:color="auto" w:fill="FFFFFF"/>
            <w:vAlign w:val="center"/>
            <w:hideMark/>
          </w:tcPr>
          <w:p w14:paraId="0F1B61EE" w14:textId="77777777" w:rsidR="00D16223" w:rsidRPr="00D16223" w:rsidRDefault="00D16223" w:rsidP="00D16223">
            <w:pPr>
              <w:spacing w:line="240" w:lineRule="auto"/>
              <w:rPr>
                <w:rFonts w:ascii="Segoe UI" w:eastAsia="宋体" w:hAnsi="Segoe UI" w:cs="Segoe UI"/>
                <w:color w:val="3C3C58"/>
                <w:sz w:val="18"/>
                <w:szCs w:val="18"/>
                <w:lang w:eastAsia="zh-CN"/>
              </w:rPr>
            </w:pPr>
            <w:r w:rsidRPr="00D16223">
              <w:rPr>
                <w:rFonts w:ascii="Segoe UI" w:eastAsia="宋体" w:hAnsi="Segoe UI" w:cs="Segoe UI"/>
                <w:color w:val="3C3C58"/>
                <w:sz w:val="18"/>
                <w:szCs w:val="18"/>
                <w:lang w:eastAsia="zh-CN"/>
              </w:rPr>
              <w:t>质量达到生产要求，兼顾成本与周期</w:t>
            </w:r>
          </w:p>
        </w:tc>
        <w:tc>
          <w:tcPr>
            <w:tcW w:w="566" w:type="pct"/>
            <w:tcBorders>
              <w:top w:val="single" w:sz="8" w:space="0" w:color="DFE2E5"/>
              <w:left w:val="single" w:sz="8" w:space="0" w:color="DFE2E5"/>
              <w:bottom w:val="single" w:sz="8" w:space="0" w:color="DFE2E5"/>
              <w:right w:val="single" w:sz="8" w:space="0" w:color="DFE2E5"/>
            </w:tcBorders>
            <w:shd w:val="clear" w:color="auto" w:fill="FFFFFF"/>
            <w:vAlign w:val="center"/>
            <w:hideMark/>
          </w:tcPr>
          <w:p w14:paraId="28889CD0" w14:textId="77777777" w:rsidR="00D16223" w:rsidRPr="00D16223" w:rsidRDefault="00D16223" w:rsidP="00D16223">
            <w:pPr>
              <w:spacing w:line="240" w:lineRule="auto"/>
              <w:rPr>
                <w:rFonts w:ascii="Segoe UI" w:eastAsia="宋体" w:hAnsi="Segoe UI" w:cs="Segoe UI"/>
                <w:color w:val="3C3C58"/>
                <w:sz w:val="18"/>
                <w:szCs w:val="18"/>
                <w:lang w:eastAsia="zh-CN"/>
              </w:rPr>
            </w:pPr>
            <w:r w:rsidRPr="00D16223">
              <w:rPr>
                <w:rFonts w:ascii="Segoe UI" w:eastAsia="宋体" w:hAnsi="Segoe UI" w:cs="Segoe UI"/>
                <w:color w:val="3C3C58"/>
                <w:sz w:val="18"/>
                <w:szCs w:val="18"/>
                <w:lang w:eastAsia="zh-CN"/>
              </w:rPr>
              <w:t>总成本、人工工时、交付周期</w:t>
            </w:r>
          </w:p>
        </w:tc>
        <w:tc>
          <w:tcPr>
            <w:tcW w:w="2388" w:type="pct"/>
            <w:tcBorders>
              <w:top w:val="single" w:sz="8" w:space="0" w:color="DFE2E5"/>
              <w:left w:val="single" w:sz="8" w:space="0" w:color="DFE2E5"/>
              <w:bottom w:val="single" w:sz="8" w:space="0" w:color="DFE2E5"/>
              <w:right w:val="nil"/>
            </w:tcBorders>
            <w:shd w:val="clear" w:color="auto" w:fill="FFFFFF"/>
            <w:vAlign w:val="center"/>
            <w:hideMark/>
          </w:tcPr>
          <w:p w14:paraId="1BF497A1" w14:textId="77777777" w:rsidR="00D16223" w:rsidRPr="00D16223" w:rsidRDefault="00D16223" w:rsidP="00D16223">
            <w:pPr>
              <w:spacing w:line="240" w:lineRule="auto"/>
              <w:rPr>
                <w:rFonts w:ascii="Segoe UI" w:eastAsia="宋体" w:hAnsi="Segoe UI" w:cs="Segoe UI"/>
                <w:color w:val="3C3C58"/>
                <w:sz w:val="18"/>
                <w:szCs w:val="18"/>
                <w:lang w:eastAsia="zh-CN"/>
              </w:rPr>
            </w:pPr>
            <w:r w:rsidRPr="00D16223">
              <w:rPr>
                <w:rFonts w:ascii="Segoe UI" w:eastAsia="宋体" w:hAnsi="Segoe UI" w:cs="Segoe UI"/>
                <w:color w:val="3C3C58"/>
                <w:sz w:val="18"/>
                <w:szCs w:val="18"/>
                <w:lang w:eastAsia="zh-CN"/>
              </w:rPr>
              <w:t>对满足质量门槛的</w:t>
            </w:r>
            <w:r w:rsidRPr="00D16223">
              <w:rPr>
                <w:rFonts w:ascii="Segoe UI" w:eastAsia="宋体" w:hAnsi="Segoe UI" w:cs="Segoe UI"/>
                <w:color w:val="3C3C58"/>
                <w:sz w:val="18"/>
                <w:szCs w:val="18"/>
                <w:lang w:eastAsia="zh-CN"/>
              </w:rPr>
              <w:t xml:space="preserve"> Manual</w:t>
            </w:r>
            <w:r w:rsidRPr="00D16223">
              <w:rPr>
                <w:rFonts w:ascii="Segoe UI" w:eastAsia="宋体" w:hAnsi="Segoe UI" w:cs="Segoe UI"/>
                <w:color w:val="3C3C58"/>
                <w:sz w:val="18"/>
                <w:szCs w:val="18"/>
                <w:lang w:eastAsia="zh-CN"/>
              </w:rPr>
              <w:t>、</w:t>
            </w:r>
            <w:r w:rsidRPr="00D16223">
              <w:rPr>
                <w:rFonts w:ascii="Segoe UI" w:eastAsia="宋体" w:hAnsi="Segoe UI" w:cs="Segoe UI"/>
                <w:color w:val="3C3C58"/>
                <w:sz w:val="18"/>
                <w:szCs w:val="18"/>
                <w:lang w:eastAsia="zh-CN"/>
              </w:rPr>
              <w:t xml:space="preserve">V1 </w:t>
            </w:r>
            <w:r w:rsidRPr="00D16223">
              <w:rPr>
                <w:rFonts w:ascii="Segoe UI" w:eastAsia="宋体" w:hAnsi="Segoe UI" w:cs="Segoe UI"/>
                <w:color w:val="3C3C58"/>
                <w:sz w:val="18"/>
                <w:szCs w:val="18"/>
                <w:lang w:eastAsia="zh-CN"/>
              </w:rPr>
              <w:t>和</w:t>
            </w:r>
            <w:r w:rsidRPr="00D16223">
              <w:rPr>
                <w:rFonts w:ascii="Segoe UI" w:eastAsia="宋体" w:hAnsi="Segoe UI" w:cs="Segoe UI"/>
                <w:color w:val="3C3C58"/>
                <w:sz w:val="18"/>
                <w:szCs w:val="18"/>
                <w:lang w:eastAsia="zh-CN"/>
              </w:rPr>
              <w:t xml:space="preserve"> V2 </w:t>
            </w:r>
            <w:r w:rsidRPr="00D16223">
              <w:rPr>
                <w:rFonts w:ascii="Segoe UI" w:eastAsia="宋体" w:hAnsi="Segoe UI" w:cs="Segoe UI"/>
                <w:color w:val="3C3C58"/>
                <w:sz w:val="18"/>
                <w:szCs w:val="18"/>
                <w:lang w:eastAsia="zh-CN"/>
              </w:rPr>
              <w:t>进行非支配比较，根据实际成本与交付周期确定候选流程</w:t>
            </w:r>
          </w:p>
        </w:tc>
      </w:tr>
      <w:tr w:rsidR="00D16223" w:rsidRPr="00D16223" w14:paraId="117CD62D" w14:textId="77777777" w:rsidTr="00D16223">
        <w:trPr>
          <w:trHeight w:val="1365"/>
        </w:trPr>
        <w:tc>
          <w:tcPr>
            <w:tcW w:w="1480" w:type="pct"/>
            <w:tcBorders>
              <w:top w:val="single" w:sz="8" w:space="0" w:color="DFE2E5"/>
              <w:left w:val="nil"/>
              <w:bottom w:val="single" w:sz="8" w:space="0" w:color="DFE2E5"/>
              <w:right w:val="single" w:sz="8" w:space="0" w:color="DFE2E5"/>
            </w:tcBorders>
            <w:shd w:val="clear" w:color="auto" w:fill="F6F8FA"/>
            <w:vAlign w:val="center"/>
            <w:hideMark/>
          </w:tcPr>
          <w:p w14:paraId="2027975C" w14:textId="77777777" w:rsidR="00D16223" w:rsidRPr="00D16223" w:rsidRDefault="00D16223" w:rsidP="00D16223">
            <w:pPr>
              <w:spacing w:line="240" w:lineRule="auto"/>
              <w:rPr>
                <w:rFonts w:eastAsia="宋体" w:cs="Times New Roman"/>
                <w:color w:val="3C3C58"/>
                <w:sz w:val="18"/>
                <w:szCs w:val="18"/>
                <w:lang w:eastAsia="zh-CN"/>
              </w:rPr>
            </w:pPr>
            <w:r w:rsidRPr="00D16223">
              <w:rPr>
                <w:rFonts w:eastAsia="宋体" w:cs="Times New Roman"/>
                <w:color w:val="3C3C58"/>
                <w:sz w:val="18"/>
                <w:szCs w:val="18"/>
                <w:lang w:eastAsia="zh-CN"/>
              </w:rPr>
              <w:t>N≈100k</w:t>
            </w:r>
            <w:r w:rsidRPr="00D16223">
              <w:rPr>
                <w:rFonts w:ascii="KaTeX_Math" w:eastAsia="宋体" w:hAnsi="KaTeX_Math" w:cs="Times New Roman"/>
                <w:i/>
                <w:iCs/>
                <w:color w:val="3C3C58"/>
                <w:sz w:val="18"/>
                <w:szCs w:val="18"/>
                <w:lang w:eastAsia="zh-CN"/>
              </w:rPr>
              <w:t>N</w:t>
            </w:r>
            <w:r w:rsidRPr="00D16223">
              <w:rPr>
                <w:rFonts w:eastAsia="宋体" w:cs="Times New Roman"/>
                <w:color w:val="3C3C58"/>
                <w:sz w:val="18"/>
                <w:szCs w:val="18"/>
                <w:lang w:eastAsia="zh-CN"/>
              </w:rPr>
              <w:t>≈100</w:t>
            </w:r>
            <w:r w:rsidRPr="00D16223">
              <w:rPr>
                <w:rFonts w:ascii="KaTeX_Math" w:eastAsia="宋体" w:hAnsi="KaTeX_Math" w:cs="Times New Roman"/>
                <w:i/>
                <w:iCs/>
                <w:color w:val="3C3C58"/>
                <w:sz w:val="18"/>
                <w:szCs w:val="18"/>
                <w:lang w:eastAsia="zh-CN"/>
              </w:rPr>
              <w:t>k</w:t>
            </w:r>
            <w:r w:rsidRPr="00D16223">
              <w:rPr>
                <w:rFonts w:ascii="Segoe UI" w:eastAsia="宋体" w:hAnsi="Segoe UI" w:cs="Segoe UI"/>
                <w:color w:val="3C3C58"/>
                <w:sz w:val="18"/>
                <w:szCs w:val="18"/>
                <w:lang w:eastAsia="zh-CN"/>
              </w:rPr>
              <w:t xml:space="preserve"> </w:t>
            </w:r>
            <w:r w:rsidRPr="00D16223">
              <w:rPr>
                <w:rFonts w:ascii="Segoe UI" w:eastAsia="宋体" w:hAnsi="Segoe UI" w:cs="Segoe UI"/>
                <w:color w:val="3C3C58"/>
                <w:sz w:val="18"/>
                <w:szCs w:val="18"/>
                <w:lang w:eastAsia="zh-CN"/>
              </w:rPr>
              <w:t>海量生产</w:t>
            </w:r>
          </w:p>
        </w:tc>
        <w:tc>
          <w:tcPr>
            <w:tcW w:w="566" w:type="pct"/>
            <w:tcBorders>
              <w:top w:val="single" w:sz="8" w:space="0" w:color="DFE2E5"/>
              <w:left w:val="single" w:sz="8" w:space="0" w:color="DFE2E5"/>
              <w:bottom w:val="single" w:sz="8" w:space="0" w:color="DFE2E5"/>
              <w:right w:val="single" w:sz="8" w:space="0" w:color="DFE2E5"/>
            </w:tcBorders>
            <w:shd w:val="clear" w:color="auto" w:fill="F6F8FA"/>
            <w:vAlign w:val="center"/>
            <w:hideMark/>
          </w:tcPr>
          <w:p w14:paraId="29E664DD" w14:textId="77777777" w:rsidR="00D16223" w:rsidRPr="00D16223" w:rsidRDefault="00D16223" w:rsidP="00D16223">
            <w:pPr>
              <w:spacing w:line="240" w:lineRule="auto"/>
              <w:rPr>
                <w:rFonts w:ascii="Segoe UI" w:eastAsia="宋体" w:hAnsi="Segoe UI" w:cs="Segoe UI"/>
                <w:color w:val="3C3C58"/>
                <w:sz w:val="18"/>
                <w:szCs w:val="18"/>
                <w:lang w:eastAsia="zh-CN"/>
              </w:rPr>
            </w:pPr>
            <w:r w:rsidRPr="00D16223">
              <w:rPr>
                <w:rFonts w:ascii="Segoe UI" w:eastAsia="宋体" w:hAnsi="Segoe UI" w:cs="Segoe UI"/>
                <w:color w:val="3C3C58"/>
                <w:sz w:val="18"/>
                <w:szCs w:val="18"/>
                <w:lang w:eastAsia="zh-CN"/>
              </w:rPr>
              <w:t>质量底线满足，人工投入和单位成本可控</w:t>
            </w:r>
          </w:p>
        </w:tc>
        <w:tc>
          <w:tcPr>
            <w:tcW w:w="566" w:type="pct"/>
            <w:tcBorders>
              <w:top w:val="single" w:sz="8" w:space="0" w:color="DFE2E5"/>
              <w:left w:val="single" w:sz="8" w:space="0" w:color="DFE2E5"/>
              <w:bottom w:val="single" w:sz="8" w:space="0" w:color="DFE2E5"/>
              <w:right w:val="single" w:sz="8" w:space="0" w:color="DFE2E5"/>
            </w:tcBorders>
            <w:shd w:val="clear" w:color="auto" w:fill="F6F8FA"/>
            <w:vAlign w:val="center"/>
            <w:hideMark/>
          </w:tcPr>
          <w:p w14:paraId="06B82DDB" w14:textId="77777777" w:rsidR="00D16223" w:rsidRPr="00D16223" w:rsidRDefault="00D16223" w:rsidP="00D16223">
            <w:pPr>
              <w:spacing w:line="240" w:lineRule="auto"/>
              <w:rPr>
                <w:rFonts w:ascii="Segoe UI" w:eastAsia="宋体" w:hAnsi="Segoe UI" w:cs="Segoe UI"/>
                <w:color w:val="3C3C58"/>
                <w:sz w:val="18"/>
                <w:szCs w:val="18"/>
                <w:lang w:eastAsia="zh-CN"/>
              </w:rPr>
            </w:pPr>
            <w:r w:rsidRPr="00D16223">
              <w:rPr>
                <w:rFonts w:ascii="Segoe UI" w:eastAsia="宋体" w:hAnsi="Segoe UI" w:cs="Segoe UI"/>
                <w:color w:val="3C3C58"/>
                <w:sz w:val="18"/>
                <w:szCs w:val="18"/>
                <w:lang w:eastAsia="zh-CN"/>
              </w:rPr>
              <w:t>单位成本、人工工时、规模扩展能力</w:t>
            </w:r>
          </w:p>
        </w:tc>
        <w:tc>
          <w:tcPr>
            <w:tcW w:w="2388" w:type="pct"/>
            <w:tcBorders>
              <w:top w:val="single" w:sz="8" w:space="0" w:color="DFE2E5"/>
              <w:left w:val="single" w:sz="8" w:space="0" w:color="DFE2E5"/>
              <w:bottom w:val="single" w:sz="8" w:space="0" w:color="DFE2E5"/>
              <w:right w:val="nil"/>
            </w:tcBorders>
            <w:shd w:val="clear" w:color="auto" w:fill="F6F8FA"/>
            <w:vAlign w:val="center"/>
            <w:hideMark/>
          </w:tcPr>
          <w:p w14:paraId="62C3ED8B" w14:textId="77777777" w:rsidR="00D16223" w:rsidRPr="00D16223" w:rsidRDefault="00D16223" w:rsidP="00D16223">
            <w:pPr>
              <w:spacing w:line="240" w:lineRule="auto"/>
              <w:rPr>
                <w:rFonts w:ascii="Segoe UI" w:eastAsia="宋体" w:hAnsi="Segoe UI" w:cs="Segoe UI"/>
                <w:color w:val="3C3C58"/>
                <w:sz w:val="18"/>
                <w:szCs w:val="18"/>
                <w:lang w:eastAsia="zh-CN"/>
              </w:rPr>
            </w:pPr>
            <w:r w:rsidRPr="00D16223">
              <w:rPr>
                <w:rFonts w:ascii="Segoe UI" w:eastAsia="宋体" w:hAnsi="Segoe UI" w:cs="Segoe UI"/>
                <w:color w:val="3C3C58"/>
                <w:sz w:val="18"/>
                <w:szCs w:val="18"/>
                <w:lang w:eastAsia="zh-CN"/>
              </w:rPr>
              <w:t>重点比较自动化流程的单位标签成本和人工负担，确定适用于大规模生产的方案</w:t>
            </w:r>
          </w:p>
        </w:tc>
      </w:tr>
      <w:tr w:rsidR="00D16223" w:rsidRPr="00D16223" w14:paraId="7015D0FC" w14:textId="77777777" w:rsidTr="00D16223">
        <w:trPr>
          <w:trHeight w:val="1220"/>
        </w:trPr>
        <w:tc>
          <w:tcPr>
            <w:tcW w:w="1480" w:type="pct"/>
            <w:tcBorders>
              <w:top w:val="single" w:sz="8" w:space="0" w:color="DFE2E5"/>
              <w:left w:val="nil"/>
              <w:bottom w:val="nil"/>
              <w:right w:val="single" w:sz="8" w:space="0" w:color="DFE2E5"/>
            </w:tcBorders>
            <w:shd w:val="clear" w:color="auto" w:fill="FFFFFF"/>
            <w:vAlign w:val="center"/>
            <w:hideMark/>
          </w:tcPr>
          <w:p w14:paraId="7D31264E" w14:textId="77777777" w:rsidR="00D16223" w:rsidRPr="00D16223" w:rsidRDefault="00D16223" w:rsidP="00D16223">
            <w:pPr>
              <w:spacing w:line="240" w:lineRule="auto"/>
              <w:rPr>
                <w:rFonts w:ascii="Segoe UI" w:eastAsia="宋体" w:hAnsi="Segoe UI" w:cs="Segoe UI"/>
                <w:color w:val="3C3C58"/>
                <w:sz w:val="18"/>
                <w:szCs w:val="18"/>
                <w:lang w:eastAsia="zh-CN"/>
              </w:rPr>
            </w:pPr>
            <w:r w:rsidRPr="00D16223">
              <w:rPr>
                <w:rFonts w:ascii="Segoe UI" w:eastAsia="宋体" w:hAnsi="Segoe UI" w:cs="Segoe UI"/>
                <w:color w:val="3C3C58"/>
                <w:sz w:val="18"/>
                <w:szCs w:val="18"/>
                <w:lang w:eastAsia="zh-CN"/>
              </w:rPr>
              <w:t>高可靠场景</w:t>
            </w:r>
          </w:p>
        </w:tc>
        <w:tc>
          <w:tcPr>
            <w:tcW w:w="566" w:type="pct"/>
            <w:tcBorders>
              <w:top w:val="single" w:sz="8" w:space="0" w:color="DFE2E5"/>
              <w:left w:val="single" w:sz="8" w:space="0" w:color="DFE2E5"/>
              <w:bottom w:val="nil"/>
              <w:right w:val="single" w:sz="8" w:space="0" w:color="DFE2E5"/>
            </w:tcBorders>
            <w:shd w:val="clear" w:color="auto" w:fill="FFFFFF"/>
            <w:vAlign w:val="center"/>
            <w:hideMark/>
          </w:tcPr>
          <w:p w14:paraId="619773BF" w14:textId="77777777" w:rsidR="00D16223" w:rsidRPr="00D16223" w:rsidRDefault="00D16223" w:rsidP="00D16223">
            <w:pPr>
              <w:spacing w:line="240" w:lineRule="auto"/>
              <w:rPr>
                <w:rFonts w:ascii="Segoe UI" w:eastAsia="宋体" w:hAnsi="Segoe UI" w:cs="Segoe UI"/>
                <w:color w:val="3C3C58"/>
                <w:sz w:val="18"/>
                <w:szCs w:val="18"/>
                <w:lang w:eastAsia="zh-CN"/>
              </w:rPr>
            </w:pPr>
            <w:r w:rsidRPr="00D16223">
              <w:rPr>
                <w:rFonts w:ascii="Segoe UI" w:eastAsia="宋体" w:hAnsi="Segoe UI" w:cs="Segoe UI"/>
                <w:color w:val="3C3C58"/>
                <w:sz w:val="18"/>
                <w:szCs w:val="18"/>
                <w:lang w:eastAsia="zh-CN"/>
              </w:rPr>
              <w:t>较高的检测效用与</w:t>
            </w:r>
            <w:r w:rsidRPr="00D16223">
              <w:rPr>
                <w:rFonts w:ascii="Segoe UI" w:eastAsia="宋体" w:hAnsi="Segoe UI" w:cs="Segoe UI"/>
                <w:color w:val="3C3C58"/>
                <w:sz w:val="18"/>
                <w:szCs w:val="18"/>
                <w:lang w:eastAsia="zh-CN"/>
              </w:rPr>
              <w:t xml:space="preserve"> Recall </w:t>
            </w:r>
            <w:r w:rsidRPr="00D16223">
              <w:rPr>
                <w:rFonts w:ascii="Segoe UI" w:eastAsia="宋体" w:hAnsi="Segoe UI" w:cs="Segoe UI"/>
                <w:color w:val="3C3C58"/>
                <w:sz w:val="18"/>
                <w:szCs w:val="18"/>
                <w:lang w:eastAsia="zh-CN"/>
              </w:rPr>
              <w:t>要求</w:t>
            </w:r>
          </w:p>
        </w:tc>
        <w:tc>
          <w:tcPr>
            <w:tcW w:w="566" w:type="pct"/>
            <w:tcBorders>
              <w:top w:val="single" w:sz="8" w:space="0" w:color="DFE2E5"/>
              <w:left w:val="single" w:sz="8" w:space="0" w:color="DFE2E5"/>
              <w:bottom w:val="nil"/>
              <w:right w:val="single" w:sz="8" w:space="0" w:color="DFE2E5"/>
            </w:tcBorders>
            <w:shd w:val="clear" w:color="auto" w:fill="FFFFFF"/>
            <w:vAlign w:val="center"/>
            <w:hideMark/>
          </w:tcPr>
          <w:p w14:paraId="0A405882" w14:textId="77777777" w:rsidR="00D16223" w:rsidRPr="00D16223" w:rsidRDefault="00D16223" w:rsidP="00D16223">
            <w:pPr>
              <w:spacing w:line="240" w:lineRule="auto"/>
              <w:rPr>
                <w:rFonts w:ascii="Segoe UI" w:eastAsia="宋体" w:hAnsi="Segoe UI" w:cs="Segoe UI"/>
                <w:color w:val="3C3C58"/>
                <w:sz w:val="18"/>
                <w:szCs w:val="18"/>
                <w:lang w:eastAsia="zh-CN"/>
              </w:rPr>
            </w:pPr>
            <w:r w:rsidRPr="00D16223">
              <w:rPr>
                <w:rFonts w:ascii="Segoe UI" w:eastAsia="宋体" w:hAnsi="Segoe UI" w:cs="Segoe UI"/>
                <w:color w:val="3C3C58"/>
                <w:sz w:val="18"/>
                <w:szCs w:val="18"/>
                <w:lang w:eastAsia="zh-CN"/>
              </w:rPr>
              <w:t>质量增益与新增投入之间的关系</w:t>
            </w:r>
          </w:p>
        </w:tc>
        <w:tc>
          <w:tcPr>
            <w:tcW w:w="2388" w:type="pct"/>
            <w:tcBorders>
              <w:top w:val="single" w:sz="8" w:space="0" w:color="DFE2E5"/>
              <w:left w:val="single" w:sz="8" w:space="0" w:color="DFE2E5"/>
              <w:bottom w:val="nil"/>
              <w:right w:val="nil"/>
            </w:tcBorders>
            <w:shd w:val="clear" w:color="auto" w:fill="FFFFFF"/>
            <w:vAlign w:val="center"/>
            <w:hideMark/>
          </w:tcPr>
          <w:p w14:paraId="619018D7" w14:textId="77777777" w:rsidR="00D16223" w:rsidRPr="00D16223" w:rsidRDefault="00D16223" w:rsidP="00D16223">
            <w:pPr>
              <w:spacing w:line="240" w:lineRule="auto"/>
              <w:rPr>
                <w:rFonts w:ascii="Segoe UI" w:eastAsia="宋体" w:hAnsi="Segoe UI" w:cs="Segoe UI"/>
                <w:color w:val="3C3C58"/>
                <w:sz w:val="18"/>
                <w:szCs w:val="18"/>
                <w:lang w:eastAsia="zh-CN"/>
              </w:rPr>
            </w:pPr>
            <w:r w:rsidRPr="00D16223">
              <w:rPr>
                <w:rFonts w:ascii="Segoe UI" w:eastAsia="宋体" w:hAnsi="Segoe UI" w:cs="Segoe UI"/>
                <w:color w:val="3C3C58"/>
                <w:sz w:val="18"/>
                <w:szCs w:val="18"/>
                <w:lang w:eastAsia="zh-CN"/>
              </w:rPr>
              <w:t xml:space="preserve">V2 </w:t>
            </w:r>
            <w:r w:rsidRPr="00D16223">
              <w:rPr>
                <w:rFonts w:ascii="Segoe UI" w:eastAsia="宋体" w:hAnsi="Segoe UI" w:cs="Segoe UI"/>
                <w:color w:val="3C3C58"/>
                <w:sz w:val="18"/>
                <w:szCs w:val="18"/>
                <w:lang w:eastAsia="zh-CN"/>
              </w:rPr>
              <w:t>仅在相对</w:t>
            </w:r>
            <w:r w:rsidRPr="00D16223">
              <w:rPr>
                <w:rFonts w:ascii="Segoe UI" w:eastAsia="宋体" w:hAnsi="Segoe UI" w:cs="Segoe UI"/>
                <w:color w:val="3C3C58"/>
                <w:sz w:val="18"/>
                <w:szCs w:val="18"/>
                <w:lang w:eastAsia="zh-CN"/>
              </w:rPr>
              <w:t xml:space="preserve"> V1 </w:t>
            </w:r>
            <w:r w:rsidRPr="00D16223">
              <w:rPr>
                <w:rFonts w:ascii="Segoe UI" w:eastAsia="宋体" w:hAnsi="Segoe UI" w:cs="Segoe UI"/>
                <w:color w:val="3C3C58"/>
                <w:sz w:val="18"/>
                <w:szCs w:val="18"/>
                <w:lang w:eastAsia="zh-CN"/>
              </w:rPr>
              <w:t>获得稳定且具有实际意义的质量增益时进入候选，否则保留</w:t>
            </w:r>
            <w:r w:rsidRPr="00D16223">
              <w:rPr>
                <w:rFonts w:ascii="Segoe UI" w:eastAsia="宋体" w:hAnsi="Segoe UI" w:cs="Segoe UI"/>
                <w:color w:val="3C3C58"/>
                <w:sz w:val="18"/>
                <w:szCs w:val="18"/>
                <w:lang w:eastAsia="zh-CN"/>
              </w:rPr>
              <w:t xml:space="preserve"> V1</w:t>
            </w:r>
          </w:p>
        </w:tc>
      </w:tr>
    </w:tbl>
    <w:p w14:paraId="3470CA2C" w14:textId="77777777" w:rsidR="00D16223" w:rsidRPr="00D16223" w:rsidRDefault="00D16223" w:rsidP="00052879">
      <w:pPr>
        <w:ind w:firstLine="420"/>
        <w:jc w:val="both"/>
        <w:rPr>
          <w:rFonts w:ascii="宋体" w:eastAsia="宋体" w:hAnsi="宋体" w:cs="宋体" w:hint="eastAsia"/>
          <w:lang w:eastAsia="zh-CN"/>
        </w:rPr>
      </w:pPr>
    </w:p>
    <w:p w14:paraId="62702691" w14:textId="77777777" w:rsidR="00D16223" w:rsidRDefault="00D16223" w:rsidP="00052879">
      <w:pPr>
        <w:ind w:firstLine="420"/>
        <w:jc w:val="both"/>
        <w:rPr>
          <w:rFonts w:hint="eastAsia"/>
          <w:lang w:eastAsia="zh-CN"/>
        </w:rPr>
      </w:pPr>
    </w:p>
    <w:p w14:paraId="686DA684" w14:textId="77777777" w:rsidR="00376CE4" w:rsidRDefault="00BD4032">
      <w:pPr>
        <w:pStyle w:val="21"/>
        <w:spacing w:before="140" w:after="100"/>
        <w:rPr>
          <w:lang w:eastAsia="zh-CN"/>
        </w:rPr>
      </w:pPr>
      <w:r>
        <w:rPr>
          <w:rFonts w:ascii="Arial" w:eastAsia="Noto Sans CJK SC" w:hAnsi="Arial"/>
          <w:lang w:eastAsia="zh-CN"/>
        </w:rPr>
        <w:t xml:space="preserve">6.5 </w:t>
      </w:r>
      <w:r>
        <w:rPr>
          <w:rFonts w:ascii="Arial" w:eastAsia="Noto Sans CJK SC" w:hAnsi="Arial"/>
          <w:lang w:eastAsia="zh-CN"/>
        </w:rPr>
        <w:t>建议替换：</w:t>
      </w:r>
      <w:r>
        <w:rPr>
          <w:rFonts w:ascii="Arial" w:eastAsia="Noto Sans CJK SC" w:hAnsi="Arial"/>
          <w:lang w:eastAsia="zh-CN"/>
        </w:rPr>
        <w:t xml:space="preserve">8.1.3 </w:t>
      </w:r>
      <w:r>
        <w:rPr>
          <w:rFonts w:ascii="Arial" w:eastAsia="Noto Sans CJK SC" w:hAnsi="Arial"/>
          <w:lang w:eastAsia="zh-CN"/>
        </w:rPr>
        <w:t>学术贡献表述</w:t>
      </w:r>
    </w:p>
    <w:p w14:paraId="588AB35B" w14:textId="77777777" w:rsidR="006C2D57" w:rsidRDefault="006C2D57" w:rsidP="006C2D57">
      <w:pPr>
        <w:ind w:firstLine="420"/>
        <w:jc w:val="both"/>
        <w:rPr>
          <w:lang w:eastAsia="zh-CN"/>
        </w:rPr>
      </w:pPr>
      <w:r>
        <w:rPr>
          <w:rFonts w:ascii="宋体" w:eastAsia="宋体" w:hAnsi="宋体" w:cs="宋体" w:hint="eastAsia"/>
          <w:lang w:eastAsia="zh-CN"/>
        </w:rPr>
        <w:t>在完成伪标签流程的技术验证后，本文进一步比较人工标注、</w:t>
      </w:r>
      <w:r>
        <w:rPr>
          <w:lang w:eastAsia="zh-CN"/>
        </w:rPr>
        <w:t xml:space="preserve">Grounding DINO V1 </w:t>
      </w:r>
      <w:r>
        <w:rPr>
          <w:rFonts w:ascii="宋体" w:eastAsia="宋体" w:hAnsi="宋体" w:cs="宋体" w:hint="eastAsia"/>
          <w:lang w:eastAsia="zh-CN"/>
        </w:rPr>
        <w:t>和通过验证的</w:t>
      </w:r>
      <w:r>
        <w:rPr>
          <w:lang w:eastAsia="zh-CN"/>
        </w:rPr>
        <w:t xml:space="preserve"> SAM3 </w:t>
      </w:r>
      <w:r>
        <w:rPr>
          <w:rFonts w:ascii="宋体" w:eastAsia="宋体" w:hAnsi="宋体" w:cs="宋体" w:hint="eastAsia"/>
          <w:lang w:eastAsia="zh-CN"/>
        </w:rPr>
        <w:t>级联方案在不同数据规模下的标签制备投入。研究分别统计模型推理、人工标注与复核、返工以及流程运行时间，并以</w:t>
      </w:r>
      <w:r>
        <w:rPr>
          <w:lang w:eastAsia="zh-CN"/>
        </w:rPr>
        <w:t xml:space="preserve"> 1k</w:t>
      </w:r>
      <w:r>
        <w:rPr>
          <w:rFonts w:ascii="宋体" w:eastAsia="宋体" w:hAnsi="宋体" w:cs="宋体" w:hint="eastAsia"/>
          <w:lang w:eastAsia="zh-CN"/>
        </w:rPr>
        <w:t>、</w:t>
      </w:r>
      <w:r>
        <w:rPr>
          <w:lang w:eastAsia="zh-CN"/>
        </w:rPr>
        <w:t xml:space="preserve">10k </w:t>
      </w:r>
      <w:r>
        <w:rPr>
          <w:rFonts w:ascii="宋体" w:eastAsia="宋体" w:hAnsi="宋体" w:cs="宋体" w:hint="eastAsia"/>
          <w:lang w:eastAsia="zh-CN"/>
        </w:rPr>
        <w:t>和</w:t>
      </w:r>
      <w:r>
        <w:rPr>
          <w:lang w:eastAsia="zh-CN"/>
        </w:rPr>
        <w:t xml:space="preserve"> 100k </w:t>
      </w:r>
      <w:r>
        <w:rPr>
          <w:rFonts w:ascii="宋体" w:eastAsia="宋体" w:hAnsi="宋体" w:cs="宋体" w:hint="eastAsia"/>
          <w:lang w:eastAsia="zh-CN"/>
        </w:rPr>
        <w:t>作为代表性规模，分析不同流程随数据量增长产生的成本和交付周期变化。</w:t>
      </w:r>
    </w:p>
    <w:p w14:paraId="5C0F9115" w14:textId="77777777" w:rsidR="006C2D57" w:rsidRDefault="006C2D57" w:rsidP="006C2D57">
      <w:pPr>
        <w:ind w:firstLine="420"/>
        <w:jc w:val="both"/>
        <w:rPr>
          <w:lang w:eastAsia="zh-CN"/>
        </w:rPr>
      </w:pPr>
    </w:p>
    <w:p w14:paraId="1BFB149E" w14:textId="5C3DC977" w:rsidR="00376CE4" w:rsidRDefault="006C2D57" w:rsidP="006C2D57">
      <w:pPr>
        <w:ind w:firstLine="420"/>
        <w:jc w:val="both"/>
        <w:rPr>
          <w:lang w:eastAsia="zh-CN"/>
        </w:rPr>
      </w:pPr>
      <w:r>
        <w:rPr>
          <w:rFonts w:ascii="宋体" w:eastAsia="宋体" w:hAnsi="宋体" w:cs="宋体" w:hint="eastAsia"/>
          <w:lang w:eastAsia="zh-CN"/>
        </w:rPr>
        <w:t>在流程选择中，结合前述下游检测效用、标签制备成本和交付周期，对候选方案进行</w:t>
      </w:r>
      <w:r>
        <w:rPr>
          <w:lang w:eastAsia="zh-CN"/>
        </w:rPr>
        <w:t xml:space="preserve"> Pareto </w:t>
      </w:r>
      <w:r>
        <w:rPr>
          <w:rFonts w:ascii="宋体" w:eastAsia="宋体" w:hAnsi="宋体" w:cs="宋体" w:hint="eastAsia"/>
          <w:lang w:eastAsia="zh-CN"/>
        </w:rPr>
        <w:t>非支配比较，并根据不同业务场景的质量要求、时间约束和资源条件给出流程选择建议。该分析的目的在于说明不同标签生产流程的适用条件，为规模化火烟数据制备提供工程决策依据。</w:t>
      </w:r>
    </w:p>
    <w:p w14:paraId="0A52A0C2" w14:textId="77777777" w:rsidR="00376CE4" w:rsidRDefault="00BD4032">
      <w:pPr>
        <w:pStyle w:val="1"/>
        <w:spacing w:before="200" w:after="100"/>
        <w:rPr>
          <w:lang w:eastAsia="zh-CN"/>
        </w:rPr>
      </w:pPr>
      <w:r>
        <w:rPr>
          <w:rFonts w:ascii="Arial" w:eastAsia="Noto Sans CJK SC" w:hAnsi="Arial"/>
          <w:lang w:eastAsia="zh-CN"/>
        </w:rPr>
        <w:t>七、统计稳健性：做到</w:t>
      </w:r>
      <w:r>
        <w:rPr>
          <w:rFonts w:ascii="Arial" w:eastAsia="Noto Sans CJK SC" w:hAnsi="Arial"/>
          <w:lang w:eastAsia="zh-CN"/>
        </w:rPr>
        <w:t>“</w:t>
      </w:r>
      <w:r>
        <w:rPr>
          <w:rFonts w:ascii="Arial" w:eastAsia="Noto Sans CJK SC" w:hAnsi="Arial"/>
          <w:lang w:eastAsia="zh-CN"/>
        </w:rPr>
        <w:t>够用</w:t>
      </w:r>
      <w:r>
        <w:rPr>
          <w:rFonts w:ascii="Arial" w:eastAsia="Noto Sans CJK SC" w:hAnsi="Arial"/>
          <w:lang w:eastAsia="zh-CN"/>
        </w:rPr>
        <w:t>”</w:t>
      </w:r>
      <w:r>
        <w:rPr>
          <w:rFonts w:ascii="Arial" w:eastAsia="Noto Sans CJK SC" w:hAnsi="Arial"/>
          <w:lang w:eastAsia="zh-CN"/>
        </w:rPr>
        <w:t>即可</w:t>
      </w:r>
    </w:p>
    <w:p w14:paraId="1EEDDE29" w14:textId="77777777" w:rsidR="00376CE4" w:rsidRDefault="00BD4032">
      <w:pPr>
        <w:ind w:firstLine="420"/>
        <w:jc w:val="both"/>
        <w:rPr>
          <w:lang w:eastAsia="zh-CN"/>
        </w:rPr>
      </w:pPr>
      <w:r>
        <w:rPr>
          <w:lang w:eastAsia="zh-CN"/>
        </w:rPr>
        <w:t xml:space="preserve">Pareto </w:t>
      </w:r>
      <w:r>
        <w:rPr>
          <w:lang w:eastAsia="zh-CN"/>
        </w:rPr>
        <w:t>章节不需要单独实现</w:t>
      </w:r>
      <w:r>
        <w:rPr>
          <w:lang w:eastAsia="zh-CN"/>
        </w:rPr>
        <w:t xml:space="preserve"> Andradóttir </w:t>
      </w:r>
      <w:r>
        <w:rPr>
          <w:lang w:eastAsia="zh-CN"/>
        </w:rPr>
        <w:t>与</w:t>
      </w:r>
      <w:r>
        <w:rPr>
          <w:lang w:eastAsia="zh-CN"/>
        </w:rPr>
        <w:t xml:space="preserve"> Lee </w:t>
      </w:r>
      <w:r>
        <w:rPr>
          <w:lang w:eastAsia="zh-CN"/>
        </w:rPr>
        <w:t>所提出的完整随机</w:t>
      </w:r>
      <w:r>
        <w:rPr>
          <w:lang w:eastAsia="zh-CN"/>
        </w:rPr>
        <w:t xml:space="preserve"> Pareto </w:t>
      </w:r>
      <w:r>
        <w:rPr>
          <w:lang w:eastAsia="zh-CN"/>
        </w:rPr>
        <w:t>集选择程序，但其</w:t>
      </w:r>
      <w:r>
        <w:rPr>
          <w:lang w:eastAsia="zh-CN"/>
        </w:rPr>
        <w:t>“</w:t>
      </w:r>
      <w:r>
        <w:rPr>
          <w:lang w:eastAsia="zh-CN"/>
        </w:rPr>
        <w:t>随机指标不能只看单次点估计</w:t>
      </w:r>
      <w:r>
        <w:rPr>
          <w:lang w:eastAsia="zh-CN"/>
        </w:rPr>
        <w:t>”</w:t>
      </w:r>
      <w:r>
        <w:rPr>
          <w:lang w:eastAsia="zh-CN"/>
        </w:rPr>
        <w:t>的思想值得保留。具体做法可以与现有</w:t>
      </w:r>
      <w:r>
        <w:rPr>
          <w:lang w:eastAsia="zh-CN"/>
        </w:rPr>
        <w:t xml:space="preserve"> 5.9 </w:t>
      </w:r>
      <w:r>
        <w:rPr>
          <w:lang w:eastAsia="zh-CN"/>
        </w:rPr>
        <w:t>统计规则合并：核心下游结果使用至少</w:t>
      </w:r>
      <w:r>
        <w:rPr>
          <w:lang w:eastAsia="zh-CN"/>
        </w:rPr>
        <w:t xml:space="preserve"> 3 </w:t>
      </w:r>
      <w:r>
        <w:rPr>
          <w:lang w:eastAsia="zh-CN"/>
        </w:rPr>
        <w:t>个随机种子，报告均值、标准差和相对</w:t>
      </w:r>
      <w:r>
        <w:rPr>
          <w:lang w:eastAsia="zh-CN"/>
        </w:rPr>
        <w:t xml:space="preserve"> V1 </w:t>
      </w:r>
      <w:r>
        <w:rPr>
          <w:lang w:eastAsia="zh-CN"/>
        </w:rPr>
        <w:t>的变化量；对</w:t>
      </w:r>
      <w:r>
        <w:rPr>
          <w:lang w:eastAsia="zh-CN"/>
        </w:rPr>
        <w:t xml:space="preserve"> V2 </w:t>
      </w:r>
      <w:r>
        <w:rPr>
          <w:lang w:eastAsia="zh-CN"/>
        </w:rPr>
        <w:t>增益设置预先约定的最小实际差异阈值（</w:t>
      </w:r>
      <w:r>
        <w:rPr>
          <w:lang w:eastAsia="zh-CN"/>
        </w:rPr>
        <w:t>MCID</w:t>
      </w:r>
      <w:r>
        <w:rPr>
          <w:lang w:eastAsia="zh-CN"/>
        </w:rPr>
        <w:t>）。只有当</w:t>
      </w:r>
      <w:r>
        <w:rPr>
          <w:lang w:eastAsia="zh-CN"/>
        </w:rPr>
        <w:t xml:space="preserve"> </w:t>
      </w:r>
      <w:r>
        <w:t>Δ</w:t>
      </w:r>
      <w:r>
        <w:rPr>
          <w:lang w:eastAsia="zh-CN"/>
        </w:rPr>
        <w:t xml:space="preserve">Q </w:t>
      </w:r>
      <w:r>
        <w:rPr>
          <w:lang w:eastAsia="zh-CN"/>
        </w:rPr>
        <w:t>超过该阈值并在隔离测试中方向一致时，才视为足以支持后续生产决策的质量增量。</w:t>
      </w:r>
    </w:p>
    <w:p w14:paraId="2670A0C4" w14:textId="77777777" w:rsidR="00376CE4" w:rsidRDefault="00BD4032">
      <w:pPr>
        <w:ind w:firstLine="420"/>
        <w:jc w:val="both"/>
        <w:rPr>
          <w:lang w:eastAsia="zh-CN"/>
        </w:rPr>
      </w:pPr>
      <w:r>
        <w:rPr>
          <w:lang w:eastAsia="zh-CN"/>
        </w:rPr>
        <w:t>成本侧无需进行复杂蒙特卡洛模拟。开题阶段可将人工单价、</w:t>
      </w:r>
      <w:r>
        <w:rPr>
          <w:lang w:eastAsia="zh-CN"/>
        </w:rPr>
        <w:t xml:space="preserve">GPU </w:t>
      </w:r>
      <w:r>
        <w:rPr>
          <w:lang w:eastAsia="zh-CN"/>
        </w:rPr>
        <w:t>单价、审核速度和返工率设置为</w:t>
      </w:r>
      <w:r>
        <w:rPr>
          <w:lang w:eastAsia="zh-CN"/>
        </w:rPr>
        <w:t xml:space="preserve"> ±20% </w:t>
      </w:r>
      <w:r>
        <w:rPr>
          <w:lang w:eastAsia="zh-CN"/>
        </w:rPr>
        <w:t>左右的敏感性区间，观察推荐方案是否发生变化。若结论在合理参数波动下保持一</w:t>
      </w:r>
      <w:r>
        <w:rPr>
          <w:lang w:eastAsia="zh-CN"/>
        </w:rPr>
        <w:lastRenderedPageBreak/>
        <w:t>致，可以表述为</w:t>
      </w:r>
      <w:r>
        <w:rPr>
          <w:lang w:eastAsia="zh-CN"/>
        </w:rPr>
        <w:t>“</w:t>
      </w:r>
      <w:r>
        <w:rPr>
          <w:lang w:eastAsia="zh-CN"/>
        </w:rPr>
        <w:t>流程选型具有较好的稳健性</w:t>
      </w:r>
      <w:r>
        <w:rPr>
          <w:lang w:eastAsia="zh-CN"/>
        </w:rPr>
        <w:t>”</w:t>
      </w:r>
      <w:r>
        <w:rPr>
          <w:lang w:eastAsia="zh-CN"/>
        </w:rPr>
        <w:t>；若发生切换，则直接报告触发切换的条件。对本研究而言，最重要的敏感性变量并不是</w:t>
      </w:r>
      <w:r>
        <w:rPr>
          <w:lang w:eastAsia="zh-CN"/>
        </w:rPr>
        <w:t xml:space="preserve"> GPU </w:t>
      </w:r>
      <w:r>
        <w:rPr>
          <w:lang w:eastAsia="zh-CN"/>
        </w:rPr>
        <w:t>单价本身，而是</w:t>
      </w:r>
      <w:r>
        <w:rPr>
          <w:lang w:eastAsia="zh-CN"/>
        </w:rPr>
        <w:t xml:space="preserve"> V2 </w:t>
      </w:r>
      <w:r>
        <w:rPr>
          <w:lang w:eastAsia="zh-CN"/>
        </w:rPr>
        <w:t>相对</w:t>
      </w:r>
      <w:r>
        <w:rPr>
          <w:lang w:eastAsia="zh-CN"/>
        </w:rPr>
        <w:t xml:space="preserve"> V1 </w:t>
      </w:r>
      <w:r>
        <w:rPr>
          <w:lang w:eastAsia="zh-CN"/>
        </w:rPr>
        <w:t>的稳定效用增量。</w:t>
      </w:r>
    </w:p>
    <w:p w14:paraId="49D438D3" w14:textId="77777777" w:rsidR="00376CE4" w:rsidRDefault="00BD4032">
      <w:pPr>
        <w:pStyle w:val="1"/>
        <w:spacing w:before="200" w:after="100"/>
        <w:rPr>
          <w:lang w:eastAsia="zh-CN"/>
        </w:rPr>
      </w:pPr>
      <w:r>
        <w:rPr>
          <w:rFonts w:ascii="Arial" w:eastAsia="Noto Sans CJK SC" w:hAnsi="Arial"/>
          <w:lang w:eastAsia="zh-CN"/>
        </w:rPr>
        <w:t>八、最终需要产出的图表：控制数量，突出决策闭环</w:t>
      </w:r>
    </w:p>
    <w:p w14:paraId="6D94C447" w14:textId="77777777" w:rsidR="00376CE4" w:rsidRDefault="00BD4032">
      <w:pPr>
        <w:ind w:firstLine="420"/>
        <w:jc w:val="both"/>
        <w:rPr>
          <w:lang w:eastAsia="zh-CN"/>
        </w:rPr>
      </w:pPr>
      <w:r>
        <w:rPr>
          <w:lang w:eastAsia="zh-CN"/>
        </w:rPr>
        <w:t xml:space="preserve">Pareto </w:t>
      </w:r>
      <w:r>
        <w:rPr>
          <w:lang w:eastAsia="zh-CN"/>
        </w:rPr>
        <w:t>部分不宜堆叠过多图表。结合当前开题内容，建议最终保留两图两表即可：</w:t>
      </w:r>
    </w:p>
    <w:p w14:paraId="7F3AB886" w14:textId="77777777" w:rsidR="00376CE4" w:rsidRDefault="00BD4032">
      <w:pPr>
        <w:pStyle w:val="a0"/>
        <w:spacing w:line="336" w:lineRule="auto"/>
        <w:ind w:left="283" w:hanging="142"/>
        <w:rPr>
          <w:lang w:eastAsia="zh-CN"/>
        </w:rPr>
      </w:pPr>
      <w:r>
        <w:rPr>
          <w:lang w:eastAsia="zh-CN"/>
        </w:rPr>
        <w:t>图</w:t>
      </w:r>
      <w:r>
        <w:rPr>
          <w:lang w:eastAsia="zh-CN"/>
        </w:rPr>
        <w:t xml:space="preserve"> 1</w:t>
      </w:r>
      <w:r>
        <w:rPr>
          <w:lang w:eastAsia="zh-CN"/>
        </w:rPr>
        <w:t>：</w:t>
      </w:r>
      <w:r>
        <w:rPr>
          <w:lang w:eastAsia="zh-CN"/>
        </w:rPr>
        <w:t>Manual</w:t>
      </w:r>
      <w:r>
        <w:rPr>
          <w:lang w:eastAsia="zh-CN"/>
        </w:rPr>
        <w:t>、</w:t>
      </w:r>
      <w:r>
        <w:rPr>
          <w:lang w:eastAsia="zh-CN"/>
        </w:rPr>
        <w:t>V1</w:t>
      </w:r>
      <w:r>
        <w:rPr>
          <w:lang w:eastAsia="zh-CN"/>
        </w:rPr>
        <w:t>、</w:t>
      </w:r>
      <w:r>
        <w:rPr>
          <w:lang w:eastAsia="zh-CN"/>
        </w:rPr>
        <w:t xml:space="preserve">V2 </w:t>
      </w:r>
      <w:r>
        <w:rPr>
          <w:lang w:eastAsia="zh-CN"/>
        </w:rPr>
        <w:t>的标签制备成本</w:t>
      </w:r>
      <w:r>
        <w:rPr>
          <w:lang w:eastAsia="zh-CN"/>
        </w:rPr>
        <w:t>—</w:t>
      </w:r>
      <w:r>
        <w:rPr>
          <w:lang w:eastAsia="zh-CN"/>
        </w:rPr>
        <w:t>数据规模曲线；若存在真实交叉点，标注</w:t>
      </w:r>
      <w:r>
        <w:rPr>
          <w:lang w:eastAsia="zh-CN"/>
        </w:rPr>
        <w:t xml:space="preserve"> N*</w:t>
      </w:r>
      <w:r>
        <w:rPr>
          <w:lang w:eastAsia="zh-CN"/>
        </w:rPr>
        <w:t>，否则只展示相对趋势。</w:t>
      </w:r>
    </w:p>
    <w:p w14:paraId="0AC5D9B4" w14:textId="77777777" w:rsidR="00376CE4" w:rsidRDefault="00BD4032">
      <w:pPr>
        <w:pStyle w:val="a0"/>
        <w:spacing w:line="336" w:lineRule="auto"/>
        <w:ind w:left="283" w:hanging="142"/>
      </w:pPr>
      <w:r>
        <w:t>图</w:t>
      </w:r>
      <w:r>
        <w:t xml:space="preserve"> 2</w:t>
      </w:r>
      <w:r>
        <w:t>：交付周期</w:t>
      </w:r>
      <w:r>
        <w:t>—</w:t>
      </w:r>
      <w:proofErr w:type="spellStart"/>
      <w:r>
        <w:t>数据规模曲线，同时在图注或附表中区分</w:t>
      </w:r>
      <w:proofErr w:type="spellEnd"/>
      <w:r>
        <w:t xml:space="preserve"> GPU </w:t>
      </w:r>
      <w:proofErr w:type="spellStart"/>
      <w:r>
        <w:t>machine-hours</w:t>
      </w:r>
      <w:r>
        <w:t>、</w:t>
      </w:r>
      <w:r>
        <w:t>human-hours</w:t>
      </w:r>
      <w:proofErr w:type="spellEnd"/>
      <w:r>
        <w:t xml:space="preserve"> </w:t>
      </w:r>
      <w:r>
        <w:t>与</w:t>
      </w:r>
      <w:r>
        <w:t xml:space="preserve"> wall-clock lead time</w:t>
      </w:r>
      <w:r>
        <w:t>。</w:t>
      </w:r>
    </w:p>
    <w:p w14:paraId="633D8CF4" w14:textId="77777777" w:rsidR="00376CE4" w:rsidRDefault="00BD4032">
      <w:pPr>
        <w:pStyle w:val="a0"/>
        <w:spacing w:line="336" w:lineRule="auto"/>
        <w:ind w:left="283" w:hanging="142"/>
      </w:pPr>
      <w:r>
        <w:t>表</w:t>
      </w:r>
      <w:r>
        <w:t xml:space="preserve"> 1</w:t>
      </w:r>
      <w:r>
        <w:t>：</w:t>
      </w:r>
      <w:r>
        <w:t>1k</w:t>
      </w:r>
      <w:r>
        <w:t>、</w:t>
      </w:r>
      <w:r>
        <w:t>10k</w:t>
      </w:r>
      <w:r>
        <w:t>、</w:t>
      </w:r>
      <w:r>
        <w:t xml:space="preserve">100k × </w:t>
      </w:r>
      <w:r>
        <w:t>候选流程的</w:t>
      </w:r>
      <w:r>
        <w:t xml:space="preserve"> Q</w:t>
      </w:r>
      <w:r>
        <w:t>、</w:t>
      </w:r>
      <w:r>
        <w:t>Recall</w:t>
      </w:r>
      <w:r>
        <w:t>、成本、交付周期、人工工时及</w:t>
      </w:r>
      <w:r>
        <w:t xml:space="preserve"> Pareto </w:t>
      </w:r>
      <w:r>
        <w:t>状态。</w:t>
      </w:r>
    </w:p>
    <w:p w14:paraId="4B55602E" w14:textId="77777777" w:rsidR="00376CE4" w:rsidRDefault="00BD4032">
      <w:pPr>
        <w:pStyle w:val="a0"/>
        <w:spacing w:line="336" w:lineRule="auto"/>
        <w:ind w:left="283" w:hanging="142"/>
        <w:rPr>
          <w:lang w:eastAsia="zh-CN"/>
        </w:rPr>
      </w:pPr>
      <w:r>
        <w:rPr>
          <w:lang w:eastAsia="zh-CN"/>
        </w:rPr>
        <w:t>表</w:t>
      </w:r>
      <w:r>
        <w:rPr>
          <w:lang w:eastAsia="zh-CN"/>
        </w:rPr>
        <w:t xml:space="preserve"> 2</w:t>
      </w:r>
      <w:r>
        <w:rPr>
          <w:lang w:eastAsia="zh-CN"/>
        </w:rPr>
        <w:t>：业务场景选型矩阵，给出高可靠、敏捷迭代和海量生产三类约束下的可行候选与推荐方案，并注明</w:t>
      </w:r>
      <w:r>
        <w:rPr>
          <w:lang w:eastAsia="zh-CN"/>
        </w:rPr>
        <w:t xml:space="preserve"> V2 </w:t>
      </w:r>
      <w:r>
        <w:rPr>
          <w:lang w:eastAsia="zh-CN"/>
        </w:rPr>
        <w:t>的进入前提。</w:t>
      </w:r>
    </w:p>
    <w:p w14:paraId="2557A200" w14:textId="77777777" w:rsidR="00376CE4" w:rsidRDefault="00BD4032">
      <w:pPr>
        <w:pStyle w:val="1"/>
        <w:spacing w:before="200" w:after="100"/>
        <w:rPr>
          <w:lang w:eastAsia="zh-CN"/>
        </w:rPr>
      </w:pPr>
      <w:r>
        <w:rPr>
          <w:rFonts w:ascii="Arial" w:eastAsia="Noto Sans CJK SC" w:hAnsi="Arial"/>
          <w:lang w:eastAsia="zh-CN"/>
        </w:rPr>
        <w:t>九、写作边界与措辞建议</w:t>
      </w:r>
    </w:p>
    <w:p w14:paraId="2DEE92F2" w14:textId="77777777" w:rsidR="00376CE4" w:rsidRDefault="00BD4032">
      <w:pPr>
        <w:ind w:firstLine="420"/>
        <w:jc w:val="both"/>
        <w:rPr>
          <w:lang w:eastAsia="zh-CN"/>
        </w:rPr>
      </w:pPr>
      <w:r>
        <w:rPr>
          <w:lang w:eastAsia="zh-CN"/>
        </w:rPr>
        <w:t>第一，不再使用</w:t>
      </w:r>
      <w:r>
        <w:rPr>
          <w:lang w:eastAsia="zh-CN"/>
        </w:rPr>
        <w:t xml:space="preserve">“1k/10k/100k </w:t>
      </w:r>
      <w:r>
        <w:rPr>
          <w:lang w:eastAsia="zh-CN"/>
        </w:rPr>
        <w:t>是流程选择阈值</w:t>
      </w:r>
      <w:r>
        <w:rPr>
          <w:lang w:eastAsia="zh-CN"/>
        </w:rPr>
        <w:t>”</w:t>
      </w:r>
      <w:r>
        <w:rPr>
          <w:lang w:eastAsia="zh-CN"/>
        </w:rPr>
        <w:t>的表述，而使用</w:t>
      </w:r>
      <w:r>
        <w:rPr>
          <w:lang w:eastAsia="zh-CN"/>
        </w:rPr>
        <w:t>“</w:t>
      </w:r>
      <w:r>
        <w:rPr>
          <w:lang w:eastAsia="zh-CN"/>
        </w:rPr>
        <w:t>代表性规模截面</w:t>
      </w:r>
      <w:r>
        <w:rPr>
          <w:lang w:eastAsia="zh-CN"/>
        </w:rPr>
        <w:t>”“</w:t>
      </w:r>
      <w:r>
        <w:rPr>
          <w:lang w:eastAsia="zh-CN"/>
        </w:rPr>
        <w:t>规模情景</w:t>
      </w:r>
      <w:r>
        <w:rPr>
          <w:lang w:eastAsia="zh-CN"/>
        </w:rPr>
        <w:t>”</w:t>
      </w:r>
      <w:r>
        <w:rPr>
          <w:lang w:eastAsia="zh-CN"/>
        </w:rPr>
        <w:t>或</w:t>
      </w:r>
      <w:r>
        <w:rPr>
          <w:lang w:eastAsia="zh-CN"/>
        </w:rPr>
        <w:t>“</w:t>
      </w:r>
      <w:r>
        <w:rPr>
          <w:lang w:eastAsia="zh-CN"/>
        </w:rPr>
        <w:t>观察点</w:t>
      </w:r>
      <w:r>
        <w:rPr>
          <w:lang w:eastAsia="zh-CN"/>
        </w:rPr>
        <w:t>”</w:t>
      </w:r>
      <w:r>
        <w:rPr>
          <w:lang w:eastAsia="zh-CN"/>
        </w:rPr>
        <w:t>。第二，将</w:t>
      </w:r>
      <w:r>
        <w:rPr>
          <w:lang w:eastAsia="zh-CN"/>
        </w:rPr>
        <w:t>“</w:t>
      </w:r>
      <w:r>
        <w:rPr>
          <w:lang w:eastAsia="zh-CN"/>
        </w:rPr>
        <w:t>共享</w:t>
      </w:r>
      <w:r>
        <w:rPr>
          <w:lang w:eastAsia="zh-CN"/>
        </w:rPr>
        <w:t xml:space="preserve"> YOLO </w:t>
      </w:r>
      <w:r>
        <w:rPr>
          <w:lang w:eastAsia="zh-CN"/>
        </w:rPr>
        <w:t>训练沉没成本</w:t>
      </w:r>
      <w:r>
        <w:rPr>
          <w:lang w:eastAsia="zh-CN"/>
        </w:rPr>
        <w:t>”</w:t>
      </w:r>
      <w:r>
        <w:rPr>
          <w:lang w:eastAsia="zh-CN"/>
        </w:rPr>
        <w:t>改为</w:t>
      </w:r>
      <w:r>
        <w:rPr>
          <w:lang w:eastAsia="zh-CN"/>
        </w:rPr>
        <w:t>“</w:t>
      </w:r>
      <w:r>
        <w:rPr>
          <w:lang w:eastAsia="zh-CN"/>
        </w:rPr>
        <w:t>共同成本</w:t>
      </w:r>
      <w:r>
        <w:rPr>
          <w:lang w:eastAsia="zh-CN"/>
        </w:rPr>
        <w:t>/</w:t>
      </w:r>
      <w:r>
        <w:rPr>
          <w:lang w:eastAsia="zh-CN"/>
        </w:rPr>
        <w:t>非差异成本</w:t>
      </w:r>
      <w:r>
        <w:rPr>
          <w:lang w:eastAsia="zh-CN"/>
        </w:rPr>
        <w:t>”</w:t>
      </w:r>
      <w:r>
        <w:rPr>
          <w:lang w:eastAsia="zh-CN"/>
        </w:rPr>
        <w:t>，并明确方案诱发的额外重训仍需计入。第三，将</w:t>
      </w:r>
      <w:r>
        <w:rPr>
          <w:lang w:eastAsia="zh-CN"/>
        </w:rPr>
        <w:t xml:space="preserve">“Pareto </w:t>
      </w:r>
      <w:r>
        <w:rPr>
          <w:lang w:eastAsia="zh-CN"/>
        </w:rPr>
        <w:t>最优决策模型</w:t>
      </w:r>
      <w:r>
        <w:rPr>
          <w:lang w:eastAsia="zh-CN"/>
        </w:rPr>
        <w:t>”</w:t>
      </w:r>
      <w:r>
        <w:rPr>
          <w:lang w:eastAsia="zh-CN"/>
        </w:rPr>
        <w:t>收敛为</w:t>
      </w:r>
      <w:r>
        <w:rPr>
          <w:lang w:eastAsia="zh-CN"/>
        </w:rPr>
        <w:t xml:space="preserve">“Pareto </w:t>
      </w:r>
      <w:r>
        <w:rPr>
          <w:lang w:eastAsia="zh-CN"/>
        </w:rPr>
        <w:t>非支配流程选型框架</w:t>
      </w:r>
      <w:r>
        <w:rPr>
          <w:lang w:eastAsia="zh-CN"/>
        </w:rPr>
        <w:t>”</w:t>
      </w:r>
      <w:r>
        <w:rPr>
          <w:lang w:eastAsia="zh-CN"/>
        </w:rPr>
        <w:t>或</w:t>
      </w:r>
      <w:r>
        <w:rPr>
          <w:lang w:eastAsia="zh-CN"/>
        </w:rPr>
        <w:t>“</w:t>
      </w:r>
      <w:r>
        <w:rPr>
          <w:lang w:eastAsia="zh-CN"/>
        </w:rPr>
        <w:t>面向规模与业务约束的</w:t>
      </w:r>
      <w:r>
        <w:rPr>
          <w:lang w:eastAsia="zh-CN"/>
        </w:rPr>
        <w:t xml:space="preserve"> Pareto </w:t>
      </w:r>
      <w:r>
        <w:rPr>
          <w:lang w:eastAsia="zh-CN"/>
        </w:rPr>
        <w:t>流程选型方法</w:t>
      </w:r>
      <w:r>
        <w:rPr>
          <w:lang w:eastAsia="zh-CN"/>
        </w:rPr>
        <w:t>”</w:t>
      </w:r>
      <w:r>
        <w:rPr>
          <w:lang w:eastAsia="zh-CN"/>
        </w:rPr>
        <w:t>，避免把非支配候选集误写成唯一最优解。</w:t>
      </w:r>
    </w:p>
    <w:p w14:paraId="3488298D" w14:textId="77777777" w:rsidR="00376CE4" w:rsidRDefault="00BD4032">
      <w:pPr>
        <w:ind w:firstLine="420"/>
        <w:jc w:val="both"/>
        <w:rPr>
          <w:lang w:eastAsia="zh-CN"/>
        </w:rPr>
      </w:pPr>
      <w:r>
        <w:rPr>
          <w:lang w:eastAsia="zh-CN"/>
        </w:rPr>
        <w:t>第四，避免预先写死</w:t>
      </w:r>
      <w:r>
        <w:rPr>
          <w:lang w:eastAsia="zh-CN"/>
        </w:rPr>
        <w:t xml:space="preserve">“10k </w:t>
      </w:r>
      <w:r>
        <w:rPr>
          <w:lang w:eastAsia="zh-CN"/>
        </w:rPr>
        <w:t>必选</w:t>
      </w:r>
      <w:r>
        <w:rPr>
          <w:lang w:eastAsia="zh-CN"/>
        </w:rPr>
        <w:t xml:space="preserve"> V1</w:t>
      </w:r>
      <w:r>
        <w:rPr>
          <w:lang w:eastAsia="zh-CN"/>
        </w:rPr>
        <w:t>、</w:t>
      </w:r>
      <w:r>
        <w:rPr>
          <w:lang w:eastAsia="zh-CN"/>
        </w:rPr>
        <w:t xml:space="preserve">100k </w:t>
      </w:r>
      <w:r>
        <w:rPr>
          <w:lang w:eastAsia="zh-CN"/>
        </w:rPr>
        <w:t>必选</w:t>
      </w:r>
      <w:r>
        <w:rPr>
          <w:lang w:eastAsia="zh-CN"/>
        </w:rPr>
        <w:t xml:space="preserve"> V2”</w:t>
      </w:r>
      <w:r>
        <w:rPr>
          <w:lang w:eastAsia="zh-CN"/>
        </w:rPr>
        <w:t>。正式论文中应写成条件式结论，例如</w:t>
      </w:r>
      <w:r>
        <w:rPr>
          <w:lang w:eastAsia="zh-CN"/>
        </w:rPr>
        <w:t>“</w:t>
      </w:r>
      <w:r>
        <w:rPr>
          <w:lang w:eastAsia="zh-CN"/>
        </w:rPr>
        <w:t>在质量门槛满足且</w:t>
      </w:r>
      <w:r>
        <w:rPr>
          <w:lang w:eastAsia="zh-CN"/>
        </w:rPr>
        <w:t xml:space="preserve"> V2 </w:t>
      </w:r>
      <w:r>
        <w:rPr>
          <w:lang w:eastAsia="zh-CN"/>
        </w:rPr>
        <w:t>未形成稳定增益时，</w:t>
      </w:r>
      <w:r>
        <w:rPr>
          <w:lang w:eastAsia="zh-CN"/>
        </w:rPr>
        <w:t xml:space="preserve">V1 </w:t>
      </w:r>
      <w:r>
        <w:rPr>
          <w:lang w:eastAsia="zh-CN"/>
        </w:rPr>
        <w:t>在成本和时延维度具有优势</w:t>
      </w:r>
      <w:r>
        <w:rPr>
          <w:lang w:eastAsia="zh-CN"/>
        </w:rPr>
        <w:t>”</w:t>
      </w:r>
      <w:r>
        <w:rPr>
          <w:lang w:eastAsia="zh-CN"/>
        </w:rPr>
        <w:t>；</w:t>
      </w:r>
      <w:r>
        <w:rPr>
          <w:lang w:eastAsia="zh-CN"/>
        </w:rPr>
        <w:t>“</w:t>
      </w:r>
      <w:r>
        <w:rPr>
          <w:lang w:eastAsia="zh-CN"/>
        </w:rPr>
        <w:t>在高可靠场景中，若</w:t>
      </w:r>
      <w:r>
        <w:rPr>
          <w:lang w:eastAsia="zh-CN"/>
        </w:rPr>
        <w:t xml:space="preserve"> V2 </w:t>
      </w:r>
      <w:r>
        <w:rPr>
          <w:lang w:eastAsia="zh-CN"/>
        </w:rPr>
        <w:t>的质量增益通过多随机种子与隔离测试验证，则其可进入非支配候选集</w:t>
      </w:r>
      <w:r>
        <w:rPr>
          <w:lang w:eastAsia="zh-CN"/>
        </w:rPr>
        <w:t>”</w:t>
      </w:r>
      <w:r>
        <w:rPr>
          <w:lang w:eastAsia="zh-CN"/>
        </w:rPr>
        <w:t>。第五，</w:t>
      </w:r>
      <w:r>
        <w:rPr>
          <w:lang w:eastAsia="zh-CN"/>
        </w:rPr>
        <w:t xml:space="preserve">Refiner </w:t>
      </w:r>
      <w:r>
        <w:rPr>
          <w:lang w:eastAsia="zh-CN"/>
        </w:rPr>
        <w:t>已经形成负消融证据时，应保持</w:t>
      </w:r>
      <w:r>
        <w:rPr>
          <w:lang w:eastAsia="zh-CN"/>
        </w:rPr>
        <w:t xml:space="preserve"> Stop</w:t>
      </w:r>
      <w:r>
        <w:rPr>
          <w:lang w:eastAsia="zh-CN"/>
        </w:rPr>
        <w:t>，不再在第六章以</w:t>
      </w:r>
      <w:r>
        <w:rPr>
          <w:lang w:eastAsia="zh-CN"/>
        </w:rPr>
        <w:t>“</w:t>
      </w:r>
      <w:r>
        <w:rPr>
          <w:lang w:eastAsia="zh-CN"/>
        </w:rPr>
        <w:t>候选方案</w:t>
      </w:r>
      <w:r>
        <w:rPr>
          <w:lang w:eastAsia="zh-CN"/>
        </w:rPr>
        <w:t>”</w:t>
      </w:r>
      <w:r>
        <w:rPr>
          <w:lang w:eastAsia="zh-CN"/>
        </w:rPr>
        <w:t>身份重新出现。</w:t>
      </w:r>
    </w:p>
    <w:p w14:paraId="66AEE5AE" w14:textId="77777777" w:rsidR="00376CE4" w:rsidRDefault="00BD4032">
      <w:pPr>
        <w:ind w:firstLine="420"/>
        <w:jc w:val="both"/>
        <w:rPr>
          <w:lang w:eastAsia="zh-CN"/>
        </w:rPr>
      </w:pPr>
      <w:r>
        <w:rPr>
          <w:lang w:eastAsia="zh-CN"/>
        </w:rPr>
        <w:t>这样处理后，</w:t>
      </w:r>
      <w:r>
        <w:rPr>
          <w:lang w:eastAsia="zh-CN"/>
        </w:rPr>
        <w:t xml:space="preserve">Pareto </w:t>
      </w:r>
      <w:r>
        <w:rPr>
          <w:lang w:eastAsia="zh-CN"/>
        </w:rPr>
        <w:t>章节的理论部分可以控制在</w:t>
      </w:r>
      <w:r>
        <w:rPr>
          <w:lang w:eastAsia="zh-CN"/>
        </w:rPr>
        <w:t xml:space="preserve"> 2—4 </w:t>
      </w:r>
      <w:r>
        <w:rPr>
          <w:lang w:eastAsia="zh-CN"/>
        </w:rPr>
        <w:t>页，其余篇幅用于呈现实测成本、吞吐、人工投入和最终情景选型。它不会压过伪标签生成与</w:t>
      </w:r>
      <w:r>
        <w:rPr>
          <w:lang w:eastAsia="zh-CN"/>
        </w:rPr>
        <w:t xml:space="preserve"> SAM3 </w:t>
      </w:r>
      <w:r>
        <w:rPr>
          <w:lang w:eastAsia="zh-CN"/>
        </w:rPr>
        <w:t>角色消融的技术主线，但能够把前面的算法实验转化为可解释、可复核的工程决策结论，符合</w:t>
      </w:r>
      <w:r>
        <w:rPr>
          <w:lang w:eastAsia="zh-CN"/>
        </w:rPr>
        <w:t xml:space="preserve"> MEM </w:t>
      </w:r>
      <w:r>
        <w:rPr>
          <w:lang w:eastAsia="zh-CN"/>
        </w:rPr>
        <w:t>论文强调的技术可行性与管理决策价值。</w:t>
      </w:r>
    </w:p>
    <w:p w14:paraId="5EAE2DC9" w14:textId="77777777" w:rsidR="00376CE4" w:rsidRDefault="00BD4032">
      <w:pPr>
        <w:pStyle w:val="1"/>
        <w:spacing w:before="200" w:after="100"/>
        <w:rPr>
          <w:lang w:eastAsia="zh-CN"/>
        </w:rPr>
      </w:pPr>
      <w:r>
        <w:rPr>
          <w:rFonts w:ascii="Arial" w:eastAsia="Noto Sans CJK SC" w:hAnsi="Arial"/>
          <w:lang w:eastAsia="zh-CN"/>
        </w:rPr>
        <w:t>十、建议保留的核心结论句</w:t>
      </w:r>
    </w:p>
    <w:tbl>
      <w:tblPr>
        <w:tblW w:w="0" w:type="auto"/>
        <w:jc w:val="center"/>
        <w:tblLayout w:type="fixed"/>
        <w:tblLook w:val="04A0" w:firstRow="1" w:lastRow="0" w:firstColumn="1" w:lastColumn="0" w:noHBand="0" w:noVBand="1"/>
      </w:tblPr>
      <w:tblGrid>
        <w:gridCol w:w="9292"/>
      </w:tblGrid>
      <w:tr w:rsidR="00376CE4" w14:paraId="5B2F9B1E" w14:textId="77777777">
        <w:trPr>
          <w:jc w:val="center"/>
        </w:trPr>
        <w:tc>
          <w:tcPr>
            <w:tcW w:w="9292" w:type="dxa"/>
            <w:shd w:val="clear" w:color="auto" w:fill="F3F4F6"/>
            <w:tcMar>
              <w:top w:w="120" w:type="dxa"/>
              <w:left w:w="180" w:type="dxa"/>
              <w:bottom w:w="120" w:type="dxa"/>
              <w:right w:w="180" w:type="dxa"/>
            </w:tcMar>
          </w:tcPr>
          <w:p w14:paraId="5B1F4F3C" w14:textId="77777777" w:rsidR="00376CE4" w:rsidRDefault="00BD4032">
            <w:pPr>
              <w:spacing w:line="324" w:lineRule="auto"/>
              <w:jc w:val="both"/>
              <w:rPr>
                <w:lang w:eastAsia="zh-CN"/>
              </w:rPr>
            </w:pPr>
            <w:r>
              <w:rPr>
                <w:sz w:val="21"/>
                <w:lang w:eastAsia="zh-CN"/>
              </w:rPr>
              <w:t xml:space="preserve">Pareto </w:t>
            </w:r>
            <w:r>
              <w:rPr>
                <w:sz w:val="21"/>
                <w:lang w:eastAsia="zh-CN"/>
              </w:rPr>
              <w:t>在本文中的作用不是寻找一个脱离场景的</w:t>
            </w:r>
            <w:r>
              <w:rPr>
                <w:sz w:val="21"/>
                <w:lang w:eastAsia="zh-CN"/>
              </w:rPr>
              <w:t>“</w:t>
            </w:r>
            <w:r>
              <w:rPr>
                <w:sz w:val="21"/>
                <w:lang w:eastAsia="zh-CN"/>
              </w:rPr>
              <w:t>全局最优流程</w:t>
            </w:r>
            <w:r>
              <w:rPr>
                <w:sz w:val="21"/>
                <w:lang w:eastAsia="zh-CN"/>
              </w:rPr>
              <w:t>”</w:t>
            </w:r>
            <w:r>
              <w:rPr>
                <w:sz w:val="21"/>
                <w:lang w:eastAsia="zh-CN"/>
              </w:rPr>
              <w:t>，而是先剔除在质量、成本和交付周期上均缺乏优势的方案，再在满足业务硬约束的非支配候选中完成流程选择。</w:t>
            </w:r>
            <w:r>
              <w:rPr>
                <w:sz w:val="21"/>
                <w:lang w:eastAsia="zh-CN"/>
              </w:rPr>
              <w:t>1k</w:t>
            </w:r>
            <w:r>
              <w:rPr>
                <w:sz w:val="21"/>
                <w:lang w:eastAsia="zh-CN"/>
              </w:rPr>
              <w:t>、</w:t>
            </w:r>
            <w:r>
              <w:rPr>
                <w:sz w:val="21"/>
                <w:lang w:eastAsia="zh-CN"/>
              </w:rPr>
              <w:t xml:space="preserve">10k </w:t>
            </w:r>
            <w:r>
              <w:rPr>
                <w:sz w:val="21"/>
                <w:lang w:eastAsia="zh-CN"/>
              </w:rPr>
              <w:t>和</w:t>
            </w:r>
            <w:r>
              <w:rPr>
                <w:sz w:val="21"/>
                <w:lang w:eastAsia="zh-CN"/>
              </w:rPr>
              <w:t xml:space="preserve"> 100k </w:t>
            </w:r>
            <w:r>
              <w:rPr>
                <w:sz w:val="21"/>
                <w:lang w:eastAsia="zh-CN"/>
              </w:rPr>
              <w:t>仅用于刻画规模效应；</w:t>
            </w:r>
            <w:r>
              <w:rPr>
                <w:sz w:val="21"/>
                <w:lang w:eastAsia="zh-CN"/>
              </w:rPr>
              <w:t xml:space="preserve">V2 </w:t>
            </w:r>
            <w:r>
              <w:rPr>
                <w:sz w:val="21"/>
                <w:lang w:eastAsia="zh-CN"/>
              </w:rPr>
              <w:t>能否进入生产候选，最终取决于其相对</w:t>
            </w:r>
            <w:r>
              <w:rPr>
                <w:sz w:val="21"/>
                <w:lang w:eastAsia="zh-CN"/>
              </w:rPr>
              <w:t xml:space="preserve"> V1 </w:t>
            </w:r>
            <w:r>
              <w:rPr>
                <w:sz w:val="21"/>
                <w:lang w:eastAsia="zh-CN"/>
              </w:rPr>
              <w:t>是否形成经过多随机种</w:t>
            </w:r>
            <w:r>
              <w:rPr>
                <w:sz w:val="21"/>
                <w:lang w:eastAsia="zh-CN"/>
              </w:rPr>
              <w:lastRenderedPageBreak/>
              <w:t>子与隔离测试验证的稳定效用增量。</w:t>
            </w:r>
          </w:p>
        </w:tc>
      </w:tr>
    </w:tbl>
    <w:p w14:paraId="4C5EC46F" w14:textId="77777777" w:rsidR="00376CE4" w:rsidRDefault="00BD4032">
      <w:pPr>
        <w:pStyle w:val="1"/>
        <w:spacing w:before="200" w:after="100"/>
        <w:rPr>
          <w:lang w:eastAsia="zh-CN"/>
        </w:rPr>
      </w:pPr>
      <w:r>
        <w:rPr>
          <w:rFonts w:ascii="Arial" w:eastAsia="Noto Sans CJK SC" w:hAnsi="Arial"/>
          <w:lang w:eastAsia="zh-CN"/>
        </w:rPr>
        <w:lastRenderedPageBreak/>
        <w:t>参考文献使用建议（与现有编号体系对齐时再调整）</w:t>
      </w:r>
    </w:p>
    <w:p w14:paraId="6AA2BDCC" w14:textId="77777777" w:rsidR="00376CE4" w:rsidRDefault="00BD4032">
      <w:pPr>
        <w:ind w:firstLine="420"/>
        <w:jc w:val="both"/>
        <w:rPr>
          <w:lang w:eastAsia="zh-CN"/>
        </w:rPr>
      </w:pPr>
      <w:r>
        <w:rPr>
          <w:lang w:eastAsia="zh-CN"/>
        </w:rPr>
        <w:t xml:space="preserve">Pareto </w:t>
      </w:r>
      <w:r>
        <w:rPr>
          <w:lang w:eastAsia="zh-CN"/>
        </w:rPr>
        <w:t>定义、非支配候选集与</w:t>
      </w:r>
      <w:r>
        <w:rPr>
          <w:lang w:eastAsia="zh-CN"/>
        </w:rPr>
        <w:t>“</w:t>
      </w:r>
      <w:r>
        <w:rPr>
          <w:lang w:eastAsia="zh-CN"/>
        </w:rPr>
        <w:t>先得到</w:t>
      </w:r>
      <w:r>
        <w:rPr>
          <w:lang w:eastAsia="zh-CN"/>
        </w:rPr>
        <w:t xml:space="preserve"> Pareto </w:t>
      </w:r>
      <w:r>
        <w:rPr>
          <w:lang w:eastAsia="zh-CN"/>
        </w:rPr>
        <w:t>集、再结合偏好</w:t>
      </w:r>
      <w:r>
        <w:rPr>
          <w:lang w:eastAsia="zh-CN"/>
        </w:rPr>
        <w:t>/</w:t>
      </w:r>
      <w:r>
        <w:rPr>
          <w:lang w:eastAsia="zh-CN"/>
        </w:rPr>
        <w:t>约束选择</w:t>
      </w:r>
      <w:r>
        <w:rPr>
          <w:lang w:eastAsia="zh-CN"/>
        </w:rPr>
        <w:t>”</w:t>
      </w:r>
      <w:r>
        <w:rPr>
          <w:lang w:eastAsia="zh-CN"/>
        </w:rPr>
        <w:t>的理论依据，可沿用开题报告现有的多目标优化文献</w:t>
      </w:r>
      <w:r>
        <w:rPr>
          <w:lang w:eastAsia="zh-CN"/>
        </w:rPr>
        <w:t>[12]</w:t>
      </w:r>
      <w:r>
        <w:rPr>
          <w:lang w:eastAsia="zh-CN"/>
        </w:rPr>
        <w:t>，并优先采用</w:t>
      </w:r>
      <w:r>
        <w:rPr>
          <w:lang w:eastAsia="zh-CN"/>
        </w:rPr>
        <w:t xml:space="preserve"> Ehrgott </w:t>
      </w:r>
      <w:r>
        <w:rPr>
          <w:lang w:eastAsia="zh-CN"/>
        </w:rPr>
        <w:t>等（</w:t>
      </w:r>
      <w:r>
        <w:rPr>
          <w:lang w:eastAsia="zh-CN"/>
        </w:rPr>
        <w:t>2026</w:t>
      </w:r>
      <w:r>
        <w:rPr>
          <w:lang w:eastAsia="zh-CN"/>
        </w:rPr>
        <w:t>）的综述作为理论主引文。随机波动条件下的</w:t>
      </w:r>
      <w:r>
        <w:rPr>
          <w:lang w:eastAsia="zh-CN"/>
        </w:rPr>
        <w:t xml:space="preserve"> Pareto </w:t>
      </w:r>
      <w:r>
        <w:rPr>
          <w:lang w:eastAsia="zh-CN"/>
        </w:rPr>
        <w:t>稳健识别可酌情补充</w:t>
      </w:r>
      <w:r>
        <w:rPr>
          <w:lang w:eastAsia="zh-CN"/>
        </w:rPr>
        <w:t xml:space="preserve"> Andradóttir </w:t>
      </w:r>
      <w:r>
        <w:rPr>
          <w:lang w:eastAsia="zh-CN"/>
        </w:rPr>
        <w:t>与</w:t>
      </w:r>
      <w:r>
        <w:rPr>
          <w:lang w:eastAsia="zh-CN"/>
        </w:rPr>
        <w:t xml:space="preserve"> Lee</w:t>
      </w:r>
      <w:r>
        <w:rPr>
          <w:lang w:eastAsia="zh-CN"/>
        </w:rPr>
        <w:t>（</w:t>
      </w:r>
      <w:r>
        <w:rPr>
          <w:lang w:eastAsia="zh-CN"/>
        </w:rPr>
        <w:t>2021</w:t>
      </w:r>
      <w:r>
        <w:rPr>
          <w:lang w:eastAsia="zh-CN"/>
        </w:rPr>
        <w:t>），但正文只需借用</w:t>
      </w:r>
      <w:r>
        <w:rPr>
          <w:lang w:eastAsia="zh-CN"/>
        </w:rPr>
        <w:t>“</w:t>
      </w:r>
      <w:r>
        <w:rPr>
          <w:lang w:eastAsia="zh-CN"/>
        </w:rPr>
        <w:t>重复实验、容差区间和可靠选择</w:t>
      </w:r>
      <w:r>
        <w:rPr>
          <w:lang w:eastAsia="zh-CN"/>
        </w:rPr>
        <w:t>”</w:t>
      </w:r>
      <w:r>
        <w:rPr>
          <w:lang w:eastAsia="zh-CN"/>
        </w:rPr>
        <w:t>的思想，不必展开其完整算法。人工复核与约束优先的人机协同文献，可作为成本分解和场景硬约束的补充支撑，不必将其另行扩展为独立理论模块。</w:t>
      </w:r>
    </w:p>
    <w:sectPr w:rsidR="00376CE4" w:rsidSect="00034616">
      <w:headerReference w:type="even" r:id="rId8"/>
      <w:headerReference w:type="default" r:id="rId9"/>
      <w:footerReference w:type="even" r:id="rId10"/>
      <w:footerReference w:type="default" r:id="rId11"/>
      <w:headerReference w:type="first" r:id="rId12"/>
      <w:footerReference w:type="first" r:id="rId13"/>
      <w:pgSz w:w="12240" w:h="15840"/>
      <w:pgMar w:top="1361" w:right="1474" w:bottom="1361" w:left="147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EA489" w14:textId="77777777" w:rsidR="00BD4032" w:rsidRDefault="00BD4032">
      <w:pPr>
        <w:spacing w:line="240" w:lineRule="auto"/>
      </w:pPr>
      <w:r>
        <w:separator/>
      </w:r>
    </w:p>
  </w:endnote>
  <w:endnote w:type="continuationSeparator" w:id="0">
    <w:p w14:paraId="6A224B32" w14:textId="77777777" w:rsidR="00BD4032" w:rsidRDefault="00BD40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KaTeX_Math">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CJK S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6124E" w14:textId="77777777" w:rsidR="00D16223" w:rsidRDefault="00D1622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D59DC" w14:textId="77777777" w:rsidR="00376CE4" w:rsidRDefault="00BD4032">
    <w:pPr>
      <w:pStyle w:val="a7"/>
      <w:jc w:val="center"/>
    </w:pPr>
    <w:r>
      <w:rPr>
        <w:color w:val="787878"/>
        <w:sz w:val="18"/>
      </w:rPr>
      <w:fldChar w:fldCharType="begin"/>
    </w:r>
    <w:r>
      <w:rPr>
        <w:color w:val="787878"/>
        <w:sz w:val="18"/>
      </w:rPr>
      <w:instrText xml:space="preserve"> PAGE </w:instrText>
    </w:r>
    <w:r w:rsidR="006C2D57">
      <w:rPr>
        <w:color w:val="787878"/>
        <w:sz w:val="18"/>
      </w:rPr>
      <w:fldChar w:fldCharType="separate"/>
    </w:r>
    <w:r w:rsidR="006C2D57">
      <w:rPr>
        <w:noProof/>
        <w:color w:val="787878"/>
        <w:sz w:val="18"/>
      </w:rPr>
      <w:t>1</w:t>
    </w:r>
    <w:r>
      <w:rPr>
        <w:color w:val="787878"/>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D09D7" w14:textId="77777777" w:rsidR="00D16223" w:rsidRDefault="00D1622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49E68" w14:textId="77777777" w:rsidR="00BD4032" w:rsidRDefault="00BD4032">
      <w:pPr>
        <w:spacing w:line="240" w:lineRule="auto"/>
      </w:pPr>
      <w:r>
        <w:separator/>
      </w:r>
    </w:p>
  </w:footnote>
  <w:footnote w:type="continuationSeparator" w:id="0">
    <w:p w14:paraId="6C3B80A1" w14:textId="77777777" w:rsidR="00BD4032" w:rsidRDefault="00BD40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D3BC5" w14:textId="77777777" w:rsidR="00D16223" w:rsidRDefault="00D1622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88B46" w14:textId="77777777" w:rsidR="00D16223" w:rsidRDefault="00D1622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ED2FD" w14:textId="77777777" w:rsidR="00D16223" w:rsidRDefault="00D1622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12879844">
    <w:abstractNumId w:val="8"/>
  </w:num>
  <w:num w:numId="2" w16cid:durableId="2136219837">
    <w:abstractNumId w:val="6"/>
  </w:num>
  <w:num w:numId="3" w16cid:durableId="886987507">
    <w:abstractNumId w:val="5"/>
  </w:num>
  <w:num w:numId="4" w16cid:durableId="1070032506">
    <w:abstractNumId w:val="4"/>
  </w:num>
  <w:num w:numId="5" w16cid:durableId="543252611">
    <w:abstractNumId w:val="7"/>
  </w:num>
  <w:num w:numId="6" w16cid:durableId="1195077026">
    <w:abstractNumId w:val="3"/>
  </w:num>
  <w:num w:numId="7" w16cid:durableId="1761290225">
    <w:abstractNumId w:val="2"/>
  </w:num>
  <w:num w:numId="8" w16cid:durableId="2099671626">
    <w:abstractNumId w:val="1"/>
  </w:num>
  <w:num w:numId="9" w16cid:durableId="136187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879"/>
    <w:rsid w:val="0006063C"/>
    <w:rsid w:val="0015074B"/>
    <w:rsid w:val="00193B76"/>
    <w:rsid w:val="0029639D"/>
    <w:rsid w:val="00326F90"/>
    <w:rsid w:val="00376CE4"/>
    <w:rsid w:val="006C2D57"/>
    <w:rsid w:val="006F7670"/>
    <w:rsid w:val="00972A62"/>
    <w:rsid w:val="009C3B34"/>
    <w:rsid w:val="00AA1D8D"/>
    <w:rsid w:val="00B47730"/>
    <w:rsid w:val="00BD4032"/>
    <w:rsid w:val="00CB0664"/>
    <w:rsid w:val="00D0467E"/>
    <w:rsid w:val="00D16223"/>
    <w:rsid w:val="00DC4118"/>
    <w:rsid w:val="00DC73F9"/>
    <w:rsid w:val="00FC53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E5E9B5"/>
  <w14:defaultImageDpi w14:val="300"/>
  <w15:docId w15:val="{592EBCB4-47AA-4BD8-B140-7A19E5D40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Noto Serif CJK SC" w:hAnsi="Times New Roman"/>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282828"/>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282828"/>
      <w:sz w:val="24"/>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nt41">
    <w:name w:val="font41"/>
    <w:basedOn w:val="a2"/>
    <w:rsid w:val="009C3B34"/>
    <w:rPr>
      <w:rFonts w:ascii="KaTeX_Math" w:hAnsi="KaTeX_Math" w:hint="default"/>
      <w:b w:val="0"/>
      <w:bCs w:val="0"/>
      <w:i/>
      <w:iCs/>
      <w:strike w:val="0"/>
      <w:dstrike w:val="0"/>
      <w:color w:val="3C3C58"/>
      <w:sz w:val="29"/>
      <w:szCs w:val="29"/>
      <w:u w:val="none"/>
      <w:effect w:val="none"/>
    </w:rPr>
  </w:style>
  <w:style w:type="character" w:customStyle="1" w:styleId="font31">
    <w:name w:val="font31"/>
    <w:basedOn w:val="a2"/>
    <w:rsid w:val="009C3B34"/>
    <w:rPr>
      <w:rFonts w:ascii="Times New Roman" w:hAnsi="Times New Roman" w:cs="Times New Roman" w:hint="default"/>
      <w:b w:val="0"/>
      <w:bCs w:val="0"/>
      <w:i w:val="0"/>
      <w:iCs w:val="0"/>
      <w:strike w:val="0"/>
      <w:dstrike w:val="0"/>
      <w:color w:val="3C3C58"/>
      <w:sz w:val="29"/>
      <w:szCs w:val="29"/>
      <w:u w:val="none"/>
      <w:effect w:val="none"/>
    </w:rPr>
  </w:style>
  <w:style w:type="character" w:customStyle="1" w:styleId="font21">
    <w:name w:val="font21"/>
    <w:basedOn w:val="a2"/>
    <w:rsid w:val="009C3B34"/>
    <w:rPr>
      <w:rFonts w:ascii="Segoe UI" w:hAnsi="Segoe UI" w:cs="Segoe UI" w:hint="default"/>
      <w:b w:val="0"/>
      <w:bCs w:val="0"/>
      <w:i w:val="0"/>
      <w:iCs w:val="0"/>
      <w:strike w:val="0"/>
      <w:dstrike w:val="0"/>
      <w:color w:val="3C3C58"/>
      <w:sz w:val="21"/>
      <w:szCs w:val="21"/>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3563</Words>
  <Characters>4242</Characters>
  <Application>Microsoft Office Word</Application>
  <DocSecurity>0</DocSecurity>
  <Lines>151</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东北财经大学 MEM 开题报告 Pareto部分整合终稿</dc:title>
  <dc:subject>跨尺度伪标签生成、标注投入与Pareto情景选型</dc:subject>
  <dc:creator/>
  <cp:keywords>Pareto, 伪标签, Grounding DINO, SAM3, MEM</cp:keywords>
  <dc:description>generated by python-docx</dc:description>
  <cp:lastModifiedBy>秀丽 董</cp:lastModifiedBy>
  <cp:revision>11</cp:revision>
  <dcterms:created xsi:type="dcterms:W3CDTF">2013-12-23T23:15:00Z</dcterms:created>
  <dcterms:modified xsi:type="dcterms:W3CDTF">2026-09-15T14:25:00Z</dcterms:modified>
  <cp:category/>
</cp:coreProperties>
</file>