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ED498">
      <w:pPr>
        <w:widowControl/>
        <w:spacing w:before="760"/>
        <w:jc w:val="center"/>
      </w:pPr>
      <w:r>
        <w:rPr>
          <w:rFonts w:ascii="Times New Roman" w:hAnsi="Times New Roman" w:eastAsia="Noto Sans CJK SC"/>
          <w:b/>
          <w:sz w:val="40"/>
        </w:rPr>
        <w:t>东北财经大学管理科学与工程学院</w:t>
      </w:r>
    </w:p>
    <w:p w14:paraId="12F47247">
      <w:pPr>
        <w:widowControl/>
        <w:spacing w:before="240"/>
        <w:jc w:val="center"/>
      </w:pPr>
      <w:r>
        <w:rPr>
          <w:rFonts w:ascii="Times New Roman" w:hAnsi="Times New Roman" w:eastAsia="Noto Sans CJK SC"/>
          <w:b/>
          <w:sz w:val="48"/>
        </w:rPr>
        <w:t>MEM 专业学位硕士开题报告</w:t>
      </w:r>
    </w:p>
    <w:p w14:paraId="4FB050DA">
      <w:pPr>
        <w:widowControl/>
        <w:spacing w:before="900" w:after="200"/>
        <w:jc w:val="center"/>
      </w:pPr>
      <w:r>
        <w:rPr>
          <w:rFonts w:ascii="Times New Roman" w:hAnsi="Times New Roman" w:eastAsia="Noto Sans CJK SC"/>
          <w:b/>
          <w:sz w:val="38"/>
        </w:rPr>
        <w:t>双教师机制下火烟训练数据生产</w:t>
      </w:r>
      <w:r>
        <w:rPr>
          <w:rFonts w:ascii="Times New Roman" w:hAnsi="Times New Roman" w:eastAsia="Noto Sans CJK SC"/>
          <w:b/>
          <w:sz w:val="38"/>
        </w:rPr>
        <w:br w:type="textWrapping"/>
      </w:r>
      <w:r>
        <w:rPr>
          <w:rFonts w:ascii="Times New Roman" w:hAnsi="Times New Roman" w:eastAsia="Noto Sans CJK SC"/>
          <w:b/>
          <w:sz w:val="38"/>
        </w:rPr>
        <w:t>质量控制与资源配置研究</w:t>
      </w:r>
    </w:p>
    <w:p w14:paraId="3DC92107">
      <w:pPr>
        <w:widowControl/>
        <w:jc w:val="center"/>
      </w:pPr>
      <w:r>
        <w:rPr>
          <w:rFonts w:ascii="Times New Roman" w:hAnsi="Times New Roman" w:eastAsia="Noto Serif CJK SC"/>
          <w:sz w:val="22"/>
        </w:rPr>
        <w:t>（2026年8月修订完整版）</w:t>
      </w:r>
    </w:p>
    <w:tbl>
      <w:tblPr>
        <w:tblStyle w:val="32"/>
        <w:tblW w:w="0" w:type="auto"/>
        <w:jc w:val="center"/>
        <w:tblLayout w:type="fixed"/>
        <w:tblCellMar>
          <w:top w:w="0" w:type="dxa"/>
          <w:left w:w="108" w:type="dxa"/>
          <w:bottom w:w="0" w:type="dxa"/>
          <w:right w:w="108" w:type="dxa"/>
        </w:tblCellMar>
      </w:tblPr>
      <w:tblGrid>
        <w:gridCol w:w="4646"/>
        <w:gridCol w:w="4646"/>
      </w:tblGrid>
      <w:tr w14:paraId="06F423C4">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tcMar>
              <w:top w:w="140" w:type="dxa"/>
              <w:left w:w="120" w:type="dxa"/>
              <w:bottom w:w="140" w:type="dxa"/>
              <w:right w:w="120" w:type="dxa"/>
            </w:tcMar>
            <w:vAlign w:val="center"/>
          </w:tcPr>
          <w:p w14:paraId="1811650B">
            <w:pPr>
              <w:jc w:val="center"/>
            </w:pPr>
            <w:r>
              <w:rPr>
                <w:rFonts w:ascii="Times New Roman" w:hAnsi="Times New Roman" w:eastAsia="Noto Sans CJK SC"/>
                <w:b/>
                <w:sz w:val="22"/>
              </w:rPr>
              <w:t>学院</w:t>
            </w:r>
          </w:p>
        </w:tc>
        <w:tc>
          <w:tcPr>
            <w:tcW w:w="5102" w:type="dxa"/>
            <w:tcBorders>
              <w:top w:val="nil"/>
              <w:left w:val="nil"/>
              <w:bottom w:val="nil"/>
              <w:right w:val="nil"/>
              <w:insideH w:val="nil"/>
              <w:insideV w:val="nil"/>
            </w:tcBorders>
            <w:tcMar>
              <w:top w:w="140" w:type="dxa"/>
              <w:left w:w="120" w:type="dxa"/>
              <w:bottom w:w="140" w:type="dxa"/>
              <w:right w:w="120" w:type="dxa"/>
            </w:tcMar>
            <w:vAlign w:val="center"/>
          </w:tcPr>
          <w:p w14:paraId="0DBB25EC">
            <w:pPr>
              <w:jc w:val="left"/>
            </w:pPr>
            <w:r>
              <w:rPr>
                <w:rFonts w:ascii="Times New Roman" w:hAnsi="Times New Roman" w:eastAsia="Noto Serif CJK SC"/>
                <w:sz w:val="22"/>
              </w:rPr>
              <w:t>管理科学与工程学院</w:t>
            </w:r>
          </w:p>
        </w:tc>
      </w:tr>
      <w:tr w14:paraId="19EE5808">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tcMar>
              <w:top w:w="140" w:type="dxa"/>
              <w:left w:w="120" w:type="dxa"/>
              <w:bottom w:w="140" w:type="dxa"/>
              <w:right w:w="120" w:type="dxa"/>
            </w:tcMar>
            <w:vAlign w:val="center"/>
          </w:tcPr>
          <w:p w14:paraId="434CE0C8">
            <w:pPr>
              <w:jc w:val="center"/>
            </w:pPr>
            <w:r>
              <w:rPr>
                <w:rFonts w:ascii="Times New Roman" w:hAnsi="Times New Roman" w:eastAsia="Noto Sans CJK SC"/>
                <w:b/>
                <w:sz w:val="22"/>
              </w:rPr>
              <w:t>专业类别</w:t>
            </w:r>
          </w:p>
        </w:tc>
        <w:tc>
          <w:tcPr>
            <w:tcW w:w="5102" w:type="dxa"/>
            <w:tcBorders>
              <w:top w:val="nil"/>
              <w:left w:val="nil"/>
              <w:bottom w:val="nil"/>
              <w:right w:val="nil"/>
              <w:insideH w:val="nil"/>
              <w:insideV w:val="nil"/>
            </w:tcBorders>
            <w:tcMar>
              <w:top w:w="140" w:type="dxa"/>
              <w:left w:w="120" w:type="dxa"/>
              <w:bottom w:w="140" w:type="dxa"/>
              <w:right w:w="120" w:type="dxa"/>
            </w:tcMar>
            <w:vAlign w:val="center"/>
          </w:tcPr>
          <w:p w14:paraId="272786C6">
            <w:pPr>
              <w:jc w:val="left"/>
            </w:pPr>
            <w:r>
              <w:rPr>
                <w:rFonts w:ascii="Times New Roman" w:hAnsi="Times New Roman" w:eastAsia="Noto Serif CJK SC"/>
                <w:sz w:val="22"/>
              </w:rPr>
              <w:t>工程管理硕士（MEM）</w:t>
            </w:r>
          </w:p>
        </w:tc>
      </w:tr>
      <w:tr w14:paraId="0BC36A00">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tcMar>
              <w:top w:w="140" w:type="dxa"/>
              <w:left w:w="120" w:type="dxa"/>
              <w:bottom w:w="140" w:type="dxa"/>
              <w:right w:w="120" w:type="dxa"/>
            </w:tcMar>
            <w:vAlign w:val="center"/>
          </w:tcPr>
          <w:p w14:paraId="6B1F8662">
            <w:pPr>
              <w:jc w:val="center"/>
            </w:pPr>
            <w:r>
              <w:rPr>
                <w:rFonts w:ascii="Times New Roman" w:hAnsi="Times New Roman" w:eastAsia="Noto Sans CJK SC"/>
                <w:b/>
                <w:sz w:val="22"/>
              </w:rPr>
              <w:t>研究方向</w:t>
            </w:r>
          </w:p>
        </w:tc>
        <w:tc>
          <w:tcPr>
            <w:tcW w:w="5102" w:type="dxa"/>
            <w:tcBorders>
              <w:top w:val="nil"/>
              <w:left w:val="nil"/>
              <w:bottom w:val="nil"/>
              <w:right w:val="nil"/>
              <w:insideH w:val="nil"/>
              <w:insideV w:val="nil"/>
            </w:tcBorders>
            <w:tcMar>
              <w:top w:w="140" w:type="dxa"/>
              <w:left w:w="120" w:type="dxa"/>
              <w:bottom w:w="140" w:type="dxa"/>
              <w:right w:w="120" w:type="dxa"/>
            </w:tcMar>
            <w:vAlign w:val="center"/>
          </w:tcPr>
          <w:p w14:paraId="184437AA">
            <w:pPr>
              <w:jc w:val="left"/>
            </w:pPr>
            <w:r>
              <w:rPr>
                <w:rFonts w:ascii="Times New Roman" w:hAnsi="Times New Roman" w:eastAsia="Noto Serif CJK SC"/>
                <w:sz w:val="22"/>
              </w:rPr>
              <w:t>AI训练数据生产、质量管理与资源配置</w:t>
            </w:r>
          </w:p>
        </w:tc>
      </w:tr>
      <w:tr w14:paraId="2AB75894">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tcMar>
              <w:top w:w="140" w:type="dxa"/>
              <w:left w:w="120" w:type="dxa"/>
              <w:bottom w:w="140" w:type="dxa"/>
              <w:right w:w="120" w:type="dxa"/>
            </w:tcMar>
            <w:vAlign w:val="center"/>
          </w:tcPr>
          <w:p w14:paraId="2B5A8D62">
            <w:pPr>
              <w:jc w:val="center"/>
            </w:pPr>
            <w:r>
              <w:rPr>
                <w:rFonts w:ascii="Times New Roman" w:hAnsi="Times New Roman" w:eastAsia="Noto Sans CJK SC"/>
                <w:b/>
                <w:sz w:val="22"/>
              </w:rPr>
              <w:t>姓名/学号</w:t>
            </w:r>
          </w:p>
        </w:tc>
        <w:tc>
          <w:tcPr>
            <w:tcW w:w="5102" w:type="dxa"/>
            <w:tcBorders>
              <w:top w:val="nil"/>
              <w:left w:val="nil"/>
              <w:bottom w:val="nil"/>
              <w:right w:val="nil"/>
              <w:insideH w:val="nil"/>
              <w:insideV w:val="nil"/>
            </w:tcBorders>
            <w:tcMar>
              <w:top w:w="140" w:type="dxa"/>
              <w:left w:w="120" w:type="dxa"/>
              <w:bottom w:w="140" w:type="dxa"/>
              <w:right w:w="120" w:type="dxa"/>
            </w:tcMar>
            <w:vAlign w:val="center"/>
          </w:tcPr>
          <w:p w14:paraId="205F7E8D">
            <w:pPr>
              <w:jc w:val="left"/>
            </w:pPr>
            <w:r>
              <w:rPr>
                <w:rFonts w:ascii="Times New Roman" w:hAnsi="Times New Roman" w:eastAsia="Noto Serif CJK SC"/>
                <w:sz w:val="22"/>
              </w:rPr>
              <w:t>________________________</w:t>
            </w:r>
          </w:p>
        </w:tc>
      </w:tr>
      <w:tr w14:paraId="68DE141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tcMar>
              <w:top w:w="140" w:type="dxa"/>
              <w:left w:w="120" w:type="dxa"/>
              <w:bottom w:w="140" w:type="dxa"/>
              <w:right w:w="120" w:type="dxa"/>
            </w:tcMar>
            <w:vAlign w:val="center"/>
          </w:tcPr>
          <w:p w14:paraId="1F7AA843">
            <w:pPr>
              <w:jc w:val="center"/>
            </w:pPr>
            <w:r>
              <w:rPr>
                <w:rFonts w:ascii="Times New Roman" w:hAnsi="Times New Roman" w:eastAsia="Noto Sans CJK SC"/>
                <w:b/>
                <w:sz w:val="22"/>
              </w:rPr>
              <w:t>指导教师</w:t>
            </w:r>
          </w:p>
        </w:tc>
        <w:tc>
          <w:tcPr>
            <w:tcW w:w="5102" w:type="dxa"/>
            <w:tcBorders>
              <w:top w:val="nil"/>
              <w:left w:val="nil"/>
              <w:bottom w:val="nil"/>
              <w:right w:val="nil"/>
              <w:insideH w:val="nil"/>
              <w:insideV w:val="nil"/>
            </w:tcBorders>
            <w:tcMar>
              <w:top w:w="140" w:type="dxa"/>
              <w:left w:w="120" w:type="dxa"/>
              <w:bottom w:w="140" w:type="dxa"/>
              <w:right w:w="120" w:type="dxa"/>
            </w:tcMar>
            <w:vAlign w:val="center"/>
          </w:tcPr>
          <w:p w14:paraId="68928C47">
            <w:pPr>
              <w:jc w:val="left"/>
            </w:pPr>
            <w:r>
              <w:rPr>
                <w:rFonts w:ascii="Times New Roman" w:hAnsi="Times New Roman" w:eastAsia="Noto Serif CJK SC"/>
                <w:sz w:val="22"/>
              </w:rPr>
              <w:t>________________________</w:t>
            </w:r>
          </w:p>
        </w:tc>
      </w:tr>
      <w:tr w14:paraId="6FC478F8">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tcMar>
              <w:top w:w="140" w:type="dxa"/>
              <w:left w:w="120" w:type="dxa"/>
              <w:bottom w:w="140" w:type="dxa"/>
              <w:right w:w="120" w:type="dxa"/>
            </w:tcMar>
            <w:vAlign w:val="center"/>
          </w:tcPr>
          <w:p w14:paraId="0DB2A5CB">
            <w:pPr>
              <w:jc w:val="center"/>
            </w:pPr>
            <w:r>
              <w:rPr>
                <w:rFonts w:ascii="Times New Roman" w:hAnsi="Times New Roman" w:eastAsia="Noto Sans CJK SC"/>
                <w:b/>
                <w:sz w:val="22"/>
              </w:rPr>
              <w:t>填表日期</w:t>
            </w:r>
          </w:p>
        </w:tc>
        <w:tc>
          <w:tcPr>
            <w:tcW w:w="5102" w:type="dxa"/>
            <w:tcBorders>
              <w:top w:val="nil"/>
              <w:left w:val="nil"/>
              <w:bottom w:val="nil"/>
              <w:right w:val="nil"/>
              <w:insideH w:val="nil"/>
              <w:insideV w:val="nil"/>
            </w:tcBorders>
            <w:tcMar>
              <w:top w:w="140" w:type="dxa"/>
              <w:left w:w="120" w:type="dxa"/>
              <w:bottom w:w="140" w:type="dxa"/>
              <w:right w:w="120" w:type="dxa"/>
            </w:tcMar>
            <w:vAlign w:val="center"/>
          </w:tcPr>
          <w:p w14:paraId="05902CF8">
            <w:pPr>
              <w:jc w:val="left"/>
            </w:pPr>
            <w:r>
              <w:rPr>
                <w:rFonts w:ascii="Times New Roman" w:hAnsi="Times New Roman" w:eastAsia="Noto Serif CJK SC"/>
                <w:sz w:val="22"/>
              </w:rPr>
              <w:t>2026年8月</w:t>
            </w:r>
          </w:p>
        </w:tc>
      </w:tr>
    </w:tbl>
    <w:p w14:paraId="49BAB88F">
      <w:pPr>
        <w:widowControl/>
      </w:pPr>
      <w:r>
        <w:br w:type="page"/>
      </w:r>
    </w:p>
    <w:p w14:paraId="732C8168">
      <w:pPr>
        <w:widowControl/>
        <w:jc w:val="center"/>
      </w:pPr>
      <w:r>
        <w:rPr>
          <w:rFonts w:ascii="Times New Roman" w:hAnsi="Times New Roman" w:eastAsia="Noto Sans CJK SC"/>
          <w:b/>
          <w:sz w:val="34"/>
        </w:rPr>
        <w:t>开题报告摘要</w:t>
      </w:r>
    </w:p>
    <w:p w14:paraId="35D34868">
      <w:pPr>
        <w:widowControl/>
        <w:spacing w:before="0" w:after="100" w:line="372" w:lineRule="auto"/>
        <w:ind w:firstLine="420"/>
        <w:jc w:val="both"/>
      </w:pPr>
      <w:r>
        <w:rPr>
          <w:rFonts w:ascii="Times New Roman" w:hAnsi="Times New Roman" w:eastAsia="Noto Serif CJK SC"/>
          <w:sz w:val="22"/>
        </w:rPr>
        <w:t>本研究面向火烟目标检测训练数据的自动生产与持续迭代问题，将其界定为一个同时包含“技术质量不确定性、质量成本投入、阶段性决策与算力资源配置”的工程管理问题。研究拟构建不对称双教师机制：以Grounding DINO作为主教师，负责开放词汇条件下的候选目标发现与检测框生成；以SAM3作为第二教师和候选质量教师，分别研究语义审核、漏检补充与框结构处理三类作用，但不预设第二教师必然进入最终生产链。YOLO仅作为统一的下游效用验证模型，用于回答不同标签版本能否真正转化为可训练价值，而不是作为与教师模型竞争的最终研究对象。前期Pilot已表明，Grounding DINO自动伪标签具有较高成本效益。当前统一的274张独立评测口径下，人工GT训练基线的Precision、Recall、mAP@0.5和mAP@0.5:0.95分别为0.8205、0.6717、0.7430和0.5377；Grounding DINO基线分别为0.7635、0.6216、0.6647和0.4623。2026年8月17日完成的三组SAM3消融进一步显示：SAM3仅审核、不补标且保留DINO原框时，Recall由0.6216提高至0.6609、mAP@0.5由0.6647提高至0.6689，但Precision和mAP@0.5:0.95小幅下降；加入SAM3全图补漏未带来稳定收益；使用SAM3掩膜框替代DINO框则出现明显退化。结合更早的teacher confidence curriculum、SAM3局部筛选与补框Pilot，当前证据支持“DINO负责定位、SAM3提供条件性语义复核”的非对称分工，而不支持无门槛的模型级联。基于上述发现，本研究将质量成本（COQ）、阶段门（Stage-Gate）、边际收益与Pareto决策引入AI训练数据生产流程：低预算Prompt规范化和数据冻结视为预防成本；GT抽检、伪标签诊断、SAM3小规模门槛实验视为鉴定成本；无效全量推理、标签返工与重训视为内部失败成本；最终Independent Test上的Recall、mAP和关键漏检作为外部交付风险约束，而不对安全后果做主观货币化。正式研究采用“Prompt冻结—主教师V1—质量诊断—第二教师门槛实验—候选全量验证—多seed稳健性—成本性能Pareto—升级/停止规则—版本追溯”的序贯路线。若SAM3产生稳定增益，则形成双教师高质量配置；若SAM3未通过门槛，则其负结果用于识别第二教师适用边界并形成停止升级规则，Grounding DINO V1仍可成为Pareto最优生产配置。由此，论文的成立不依赖SAM3必须提升mAP，而依赖对‘何时需要第二教师、何时停止复杂化’这一工程管理问题形成可复现、可量化、可执行的决策机制。</w:t>
      </w:r>
    </w:p>
    <w:p w14:paraId="04871836">
      <w:pPr>
        <w:widowControl/>
        <w:spacing w:before="160"/>
      </w:pPr>
      <w:r>
        <w:rPr>
          <w:rFonts w:ascii="Times New Roman" w:hAnsi="Times New Roman" w:eastAsia="Noto Sans CJK SC"/>
          <w:b/>
          <w:sz w:val="22"/>
        </w:rPr>
        <w:t>关键词：</w:t>
      </w:r>
      <w:r>
        <w:rPr>
          <w:rFonts w:ascii="Times New Roman" w:hAnsi="Times New Roman" w:eastAsia="Noto Serif CJK SC"/>
          <w:sz w:val="22"/>
        </w:rPr>
        <w:t>双教师；训练数据生产；伪标签；质量成本；阶段门；资源配置；Pareto决策</w:t>
      </w:r>
    </w:p>
    <w:tbl>
      <w:tblPr>
        <w:tblStyle w:val="32"/>
        <w:tblW w:w="0" w:type="auto"/>
        <w:jc w:val="center"/>
        <w:tblLayout w:type="fixed"/>
        <w:tblCellMar>
          <w:top w:w="0" w:type="dxa"/>
          <w:left w:w="108" w:type="dxa"/>
          <w:bottom w:w="0" w:type="dxa"/>
          <w:right w:w="108" w:type="dxa"/>
        </w:tblCellMar>
      </w:tblPr>
      <w:tblGrid>
        <w:gridCol w:w="8957"/>
      </w:tblGrid>
      <w:tr w14:paraId="79E487D7">
        <w:tblPrEx>
          <w:tblCellMar>
            <w:top w:w="0" w:type="dxa"/>
            <w:left w:w="108" w:type="dxa"/>
            <w:bottom w:w="0" w:type="dxa"/>
            <w:right w:w="108" w:type="dxa"/>
          </w:tblCellMar>
        </w:tblPrEx>
        <w:trPr>
          <w:jc w:val="center"/>
        </w:trPr>
        <w:tc>
          <w:tcPr>
            <w:tcW w:w="9292" w:type="dxa"/>
            <w:shd w:val="clear" w:color="auto" w:fill="E8F1F8"/>
            <w:tcMar>
              <w:top w:w="150" w:type="dxa"/>
              <w:left w:w="180" w:type="dxa"/>
              <w:bottom w:w="150" w:type="dxa"/>
              <w:right w:w="180" w:type="dxa"/>
            </w:tcMar>
          </w:tcPr>
          <w:p w14:paraId="2E1C129F">
            <w:pPr>
              <w:spacing w:after="60"/>
            </w:pPr>
            <w:r>
              <w:rPr>
                <w:rFonts w:ascii="Times New Roman" w:hAnsi="Times New Roman" w:eastAsia="Noto Sans CJK SC"/>
                <w:b/>
                <w:sz w:val="20"/>
              </w:rPr>
              <w:t>本次修订的核心定位</w:t>
            </w:r>
          </w:p>
          <w:p w14:paraId="2E7BA42B">
            <w:pPr>
              <w:spacing w:after="0" w:line="324" w:lineRule="auto"/>
            </w:pPr>
            <w:r>
              <w:rPr>
                <w:rFonts w:ascii="Times New Roman" w:hAnsi="Times New Roman" w:eastAsia="Noto Serif CJK SC"/>
                <w:sz w:val="20"/>
              </w:rPr>
              <w:t>将“必须证明SAM3有效”改为“用双教师架构检验第二教师的边际价值，并通过Stage-Gate决定是否升级”。因此，SAM3提升、无提升或显著退化都能形成论文结果：分别对应升级配置、适用边界与停止规则。该写法同时保留技术科学性与MEM管理属性。</w:t>
            </w:r>
          </w:p>
        </w:tc>
      </w:tr>
    </w:tbl>
    <w:p w14:paraId="000F81F5">
      <w:pPr>
        <w:widowControl/>
        <w:spacing w:after="20"/>
      </w:pPr>
    </w:p>
    <w:p w14:paraId="1DC6A96B">
      <w:pPr>
        <w:widowControl/>
      </w:pPr>
      <w:r>
        <w:br w:type="page"/>
      </w:r>
    </w:p>
    <w:p w14:paraId="487A1856">
      <w:pPr>
        <w:widowControl/>
        <w:jc w:val="center"/>
      </w:pPr>
      <w:r>
        <w:rPr>
          <w:rFonts w:ascii="Times New Roman" w:hAnsi="Times New Roman" w:eastAsia="Noto Sans CJK SC"/>
          <w:b/>
          <w:sz w:val="34"/>
        </w:rPr>
        <w:t>目  录</w:t>
      </w:r>
    </w:p>
    <w:p w14:paraId="09263F30">
      <w:pPr>
        <w:widowControl/>
        <w:spacing w:after="100"/>
        <w:ind w:left="567"/>
      </w:pPr>
      <w:r>
        <w:rPr>
          <w:rFonts w:ascii="Times New Roman" w:hAnsi="Times New Roman" w:eastAsia="Noto Serif CJK SC"/>
          <w:sz w:val="22"/>
        </w:rPr>
        <w:t>一、研究背景、课题来源与研究意义</w:t>
      </w:r>
    </w:p>
    <w:p w14:paraId="05A25F4B">
      <w:pPr>
        <w:widowControl/>
        <w:spacing w:after="100"/>
        <w:ind w:left="567"/>
      </w:pPr>
      <w:r>
        <w:rPr>
          <w:rFonts w:ascii="Times New Roman" w:hAnsi="Times New Roman" w:eastAsia="Noto Serif CJK SC"/>
          <w:sz w:val="22"/>
        </w:rPr>
        <w:t>二、国内外研究现状与文献综述</w:t>
      </w:r>
    </w:p>
    <w:p w14:paraId="4CA28499">
      <w:pPr>
        <w:widowControl/>
        <w:spacing w:after="100"/>
        <w:ind w:left="567"/>
      </w:pPr>
      <w:r>
        <w:rPr>
          <w:rFonts w:ascii="Times New Roman" w:hAnsi="Times New Roman" w:eastAsia="Noto Serif CJK SC"/>
          <w:sz w:val="22"/>
        </w:rPr>
        <w:t>三、研究目标、核心研究问题与概念边界</w:t>
      </w:r>
    </w:p>
    <w:p w14:paraId="700E0888">
      <w:pPr>
        <w:widowControl/>
        <w:spacing w:after="100"/>
        <w:ind w:left="567"/>
      </w:pPr>
      <w:r>
        <w:rPr>
          <w:rFonts w:ascii="Times New Roman" w:hAnsi="Times New Roman" w:eastAsia="Noto Serif CJK SC"/>
          <w:sz w:val="22"/>
        </w:rPr>
        <w:t>四、理论基础与双教师工程管理研究框架</w:t>
      </w:r>
    </w:p>
    <w:p w14:paraId="3365D41C">
      <w:pPr>
        <w:widowControl/>
        <w:spacing w:after="100"/>
        <w:ind w:left="567"/>
      </w:pPr>
      <w:r>
        <w:rPr>
          <w:rFonts w:ascii="Times New Roman" w:hAnsi="Times New Roman" w:eastAsia="Noto Serif CJK SC"/>
          <w:sz w:val="22"/>
        </w:rPr>
        <w:t>五、研究设计、数据方案与实验方法</w:t>
      </w:r>
    </w:p>
    <w:p w14:paraId="00CE4EC6">
      <w:pPr>
        <w:widowControl/>
        <w:spacing w:after="100"/>
        <w:ind w:left="567"/>
      </w:pPr>
      <w:r>
        <w:rPr>
          <w:rFonts w:ascii="Times New Roman" w:hAnsi="Times New Roman" w:eastAsia="Noto Serif CJK SC"/>
          <w:sz w:val="22"/>
        </w:rPr>
        <w:t>六、前期实验基础与阶段性结论</w:t>
      </w:r>
    </w:p>
    <w:p w14:paraId="386DAAC2">
      <w:pPr>
        <w:widowControl/>
        <w:spacing w:after="100"/>
        <w:ind w:left="567"/>
      </w:pPr>
      <w:r>
        <w:rPr>
          <w:rFonts w:ascii="Times New Roman" w:hAnsi="Times New Roman" w:eastAsia="Noto Serif CJK SC"/>
          <w:sz w:val="22"/>
        </w:rPr>
        <w:t>七、质量成本、资源配置与升级/停止规则</w:t>
      </w:r>
    </w:p>
    <w:p w14:paraId="48D274AB">
      <w:pPr>
        <w:widowControl/>
        <w:spacing w:after="100"/>
        <w:ind w:left="567"/>
      </w:pPr>
      <w:r>
        <w:rPr>
          <w:rFonts w:ascii="Times New Roman" w:hAnsi="Times New Roman" w:eastAsia="Noto Serif CJK SC"/>
          <w:sz w:val="22"/>
        </w:rPr>
        <w:t>八、创新点、可行性与风险控制</w:t>
      </w:r>
    </w:p>
    <w:p w14:paraId="5D08C1D7">
      <w:pPr>
        <w:widowControl/>
        <w:spacing w:after="100"/>
        <w:ind w:left="567"/>
      </w:pPr>
      <w:r>
        <w:rPr>
          <w:rFonts w:ascii="Times New Roman" w:hAnsi="Times New Roman" w:eastAsia="Noto Serif CJK SC"/>
          <w:sz w:val="22"/>
        </w:rPr>
        <w:t>九、研究计划与预期成果</w:t>
      </w:r>
    </w:p>
    <w:p w14:paraId="533E7CCE">
      <w:pPr>
        <w:widowControl/>
        <w:spacing w:after="100"/>
        <w:ind w:left="567"/>
      </w:pPr>
      <w:r>
        <w:rPr>
          <w:rFonts w:ascii="Times New Roman" w:hAnsi="Times New Roman" w:eastAsia="Noto Serif CJK SC"/>
          <w:sz w:val="22"/>
        </w:rPr>
        <w:t>十、论文拟定目录</w:t>
      </w:r>
    </w:p>
    <w:p w14:paraId="16231E21">
      <w:pPr>
        <w:widowControl/>
        <w:spacing w:after="100"/>
        <w:ind w:left="567"/>
      </w:pPr>
      <w:r>
        <w:rPr>
          <w:rFonts w:ascii="Times New Roman" w:hAnsi="Times New Roman" w:eastAsia="Noto Serif CJK SC"/>
          <w:sz w:val="22"/>
        </w:rPr>
        <w:t>十一、主要参考文献</w:t>
      </w:r>
    </w:p>
    <w:p w14:paraId="79A635D9">
      <w:pPr>
        <w:widowControl/>
        <w:spacing w:after="100"/>
        <w:ind w:left="567"/>
      </w:pPr>
      <w:r>
        <w:rPr>
          <w:rFonts w:ascii="Times New Roman" w:hAnsi="Times New Roman" w:eastAsia="Noto Serif CJK SC"/>
          <w:sz w:val="22"/>
        </w:rPr>
        <w:t>附录A 开题后正式实验执行清单</w:t>
      </w:r>
    </w:p>
    <w:p w14:paraId="10B7818C">
      <w:pPr>
        <w:widowControl/>
        <w:spacing w:after="100"/>
        <w:ind w:left="567"/>
      </w:pPr>
      <w:r>
        <w:rPr>
          <w:rFonts w:ascii="Times New Roman" w:hAnsi="Times New Roman" w:eastAsia="Noto Serif CJK SC"/>
          <w:sz w:val="22"/>
        </w:rPr>
        <w:t>附录B 最小可追溯字段与实验记录模板</w:t>
      </w:r>
    </w:p>
    <w:p w14:paraId="1CC38CE3">
      <w:pPr>
        <w:widowControl/>
      </w:pPr>
      <w:r>
        <w:br w:type="page"/>
      </w:r>
    </w:p>
    <w:p w14:paraId="77150A85">
      <w:pPr>
        <w:pStyle w:val="3"/>
        <w:keepNext/>
        <w:widowControl/>
        <w:spacing w:before="200" w:after="100" w:line="276" w:lineRule="auto"/>
      </w:pPr>
      <w:r>
        <w:rPr>
          <w:rFonts w:ascii="Times New Roman" w:hAnsi="Times New Roman" w:eastAsia="Noto Sans CJK SC"/>
          <w:b/>
          <w:sz w:val="32"/>
        </w:rPr>
        <w:t>一、研究背景、课题来源与研究意义</w:t>
      </w:r>
    </w:p>
    <w:p w14:paraId="79DCC6CD">
      <w:pPr>
        <w:pStyle w:val="4"/>
        <w:keepNext/>
        <w:widowControl/>
        <w:spacing w:before="140" w:after="60" w:line="276" w:lineRule="auto"/>
      </w:pPr>
      <w:r>
        <w:rPr>
          <w:rFonts w:ascii="Times New Roman" w:hAnsi="Times New Roman" w:eastAsia="Noto Sans CJK SC"/>
          <w:b/>
          <w:sz w:val="26"/>
        </w:rPr>
        <w:t>1.1 研究背景</w:t>
      </w:r>
    </w:p>
    <w:p w14:paraId="554CE6BA">
      <w:pPr>
        <w:widowControl/>
        <w:spacing w:before="0" w:after="100" w:line="360" w:lineRule="auto"/>
        <w:ind w:firstLine="420"/>
        <w:jc w:val="both"/>
      </w:pPr>
      <w:r>
        <w:rPr>
          <w:rFonts w:ascii="Times New Roman" w:hAnsi="Times New Roman" w:eastAsia="Noto Serif CJK SC"/>
          <w:sz w:val="22"/>
        </w:rPr>
        <w:t>视觉火烟检测在园区、仓储、施工现场、林区和视频监控等场景中具有明确应用价值。传统视觉火灾识别从颜色、运动和时序特征逐步发展到深度学习检测与分割，检测模型的泛化能力越来越依赖数据规模、场景覆盖和标注质量[46-48]。然而，面向真实工程项目时，人工逐框标注仍具有高工时、高复核成本和难以持续扩充的问题；当场景持续增加时，训练数据生产本身逐渐成为模型项目的瓶颈。</w:t>
      </w:r>
    </w:p>
    <w:p w14:paraId="73AF5CA0">
      <w:pPr>
        <w:widowControl/>
        <w:spacing w:before="0" w:after="100" w:line="360" w:lineRule="auto"/>
        <w:ind w:firstLine="420"/>
        <w:jc w:val="both"/>
      </w:pPr>
      <w:r>
        <w:rPr>
          <w:rFonts w:ascii="Times New Roman" w:hAnsi="Times New Roman" w:eastAsia="Noto Serif CJK SC"/>
          <w:sz w:val="22"/>
        </w:rPr>
        <w:t>开放词汇视觉基础模型为“用自然语言Prompt冷启动标签”提供了新的生产方式。Grounding DINO能够根据类别名称或短语生成开放集候选框[40-41]，SAM系列能够接受点、框、文本概念等提示生成结构化掩膜[42-44]。这使得训练数据生产从“全人工标注”转向“基础模型生成—质量控制—下游验证”的工程流程成为可能。但基础模型输出并不等价于可训练标签：类别置信度、语义覆盖、目标粒度、框尺度、边界结构及场景分布均可能影响后续学生模型；模型级联越多，还会增加GPU时长、开发复杂度、返工与版本耦合。</w:t>
      </w:r>
    </w:p>
    <w:p w14:paraId="28A6637A">
      <w:pPr>
        <w:widowControl/>
        <w:spacing w:before="0" w:after="100" w:line="360" w:lineRule="auto"/>
        <w:ind w:firstLine="420"/>
        <w:jc w:val="both"/>
      </w:pPr>
      <w:r>
        <w:rPr>
          <w:rFonts w:ascii="Times New Roman" w:hAnsi="Times New Roman" w:eastAsia="Noto Serif CJK SC"/>
          <w:sz w:val="22"/>
        </w:rPr>
        <w:t>因此，本研究不把“使用更大的模型”视为天然改进，而把训练数据自动生产视为质量管理与资源配置问题：如何用较低预防成本冻结Prompt与阈值，如何用有限鉴定成本识别有害伪标签，如何判断第二教师是否值得调用，以及何时应停止模型级联。该问题与MEM强调的工程实践、质量、成本、风险、流程与决策具有直接一致性[1-4]。</w:t>
      </w:r>
    </w:p>
    <w:p w14:paraId="7D5F2777">
      <w:pPr>
        <w:pStyle w:val="4"/>
        <w:keepNext/>
        <w:widowControl/>
        <w:spacing w:before="140" w:after="60" w:line="276" w:lineRule="auto"/>
      </w:pPr>
      <w:r>
        <w:rPr>
          <w:rFonts w:ascii="Times New Roman" w:hAnsi="Times New Roman" w:eastAsia="Noto Sans CJK SC"/>
          <w:b/>
          <w:sz w:val="26"/>
        </w:rPr>
        <w:t>1.2 课题来源与实践问题</w:t>
      </w:r>
    </w:p>
    <w:p w14:paraId="768B2A1D">
      <w:pPr>
        <w:widowControl/>
        <w:spacing w:before="0" w:after="100" w:line="360" w:lineRule="auto"/>
        <w:ind w:firstLine="420"/>
        <w:jc w:val="both"/>
      </w:pPr>
      <w:r>
        <w:rPr>
          <w:rFonts w:ascii="Times New Roman" w:hAnsi="Times New Roman" w:eastAsia="Noto Serif CJK SC"/>
          <w:sz w:val="22"/>
        </w:rPr>
        <w:t>课题来源于火烟目标检测训练数据生产的实际工程需求。当前已有</w:t>
      </w:r>
      <w:r>
        <w:rPr>
          <w:rFonts w:hint="eastAsia" w:eastAsia="宋体"/>
          <w:sz w:val="22"/>
          <w:lang w:val="en-US" w:eastAsia="zh-CN"/>
        </w:rPr>
        <w:t>3050</w:t>
      </w:r>
      <w:bookmarkStart w:id="0" w:name="_GoBack"/>
      <w:bookmarkEnd w:id="0"/>
      <w:r>
        <w:rPr>
          <w:rFonts w:ascii="Times New Roman" w:hAnsi="Times New Roman" w:eastAsia="Noto Serif CJK SC"/>
          <w:sz w:val="22"/>
        </w:rPr>
        <w:t>张训练/开发图像及人工精标参考数据，并形成Grounding DINO自动标签、YOLO统一训练验证、teacher confidence处理和多种SAM3增强Pilot。实践中最突出的问题不是“模型能否跑通”，而是“不同自动标签方案究竟是否值得作为生产流程长期保留”。</w:t>
      </w:r>
    </w:p>
    <w:p w14:paraId="50F3663C">
      <w:pPr>
        <w:widowControl/>
        <w:spacing w:before="0" w:after="100" w:line="360" w:lineRule="auto"/>
        <w:ind w:firstLine="420"/>
        <w:jc w:val="both"/>
      </w:pPr>
      <w:r>
        <w:rPr>
          <w:rFonts w:ascii="Times New Roman" w:hAnsi="Times New Roman" w:eastAsia="Noto Serif CJK SC"/>
          <w:sz w:val="22"/>
        </w:rPr>
        <w:t>早期实验曾按“Grounding DINO—YOLO回检—SAM处理—V2标签”的级联思路推进，但多轮结果显示，复杂处理并不稳定优于简单基线；同一个候选策略可能提高Recall却降低Precision，可能改善视觉边界却降低mAP@0.5:0.95，也可能增加大量推理成本而几乎没有下游收益。由此，工程重点从算法叠加转向：建立统一质量定义、实验门槛、阶段决策、成本核算和版本追踪。</w:t>
      </w:r>
    </w:p>
    <w:p w14:paraId="496A1A8B">
      <w:pPr>
        <w:pStyle w:val="4"/>
        <w:keepNext/>
        <w:widowControl/>
        <w:spacing w:before="140" w:after="60" w:line="276" w:lineRule="auto"/>
      </w:pPr>
      <w:r>
        <w:rPr>
          <w:rFonts w:ascii="Times New Roman" w:hAnsi="Times New Roman" w:eastAsia="Noto Sans CJK SC"/>
          <w:b/>
          <w:sz w:val="26"/>
        </w:rPr>
        <w:t>1.3 管理问题提炼</w:t>
      </w:r>
    </w:p>
    <w:p w14:paraId="370D847F">
      <w:pPr>
        <w:widowControl/>
        <w:spacing w:before="0" w:after="100" w:line="360" w:lineRule="auto"/>
        <w:ind w:firstLine="420"/>
        <w:jc w:val="both"/>
      </w:pPr>
      <w:r>
        <w:rPr>
          <w:rFonts w:ascii="Times New Roman" w:hAnsi="Times New Roman" w:eastAsia="Noto Serif CJK SC"/>
          <w:sz w:val="22"/>
        </w:rPr>
        <w:t>本研究将实践问题抽象为三个层次。第一，质量控制层：自动标签不仅要“看起来合理”，还要被下游训练验证；标签质量需拆分为漏检、假阳性、定位、尺度和实例粒度等可诊断维度。第二，项目决策层：第二教师属于可选鉴定/增强资源，必须通过阶段门才能从小样本试验进入全量生产。第三，资源配置层：在GPU时长、人工工时、训练次数和交付周期约束下，需要比较不同流程的边际效用，而不是单独追求某一技术指标最大化。</w:t>
      </w:r>
    </w:p>
    <w:p w14:paraId="74FB0450">
      <w:pPr>
        <w:pStyle w:val="4"/>
        <w:keepNext/>
        <w:widowControl/>
        <w:spacing w:before="140" w:after="60" w:line="276" w:lineRule="auto"/>
      </w:pPr>
      <w:r>
        <w:rPr>
          <w:rFonts w:ascii="Times New Roman" w:hAnsi="Times New Roman" w:eastAsia="Noto Sans CJK SC"/>
          <w:b/>
          <w:sz w:val="26"/>
        </w:rPr>
        <w:t>1.4 理论意义与实践价值</w:t>
      </w:r>
    </w:p>
    <w:p w14:paraId="38CEAAEC">
      <w:pPr>
        <w:widowControl/>
        <w:spacing w:before="0" w:after="100" w:line="360" w:lineRule="auto"/>
        <w:ind w:firstLine="420"/>
        <w:jc w:val="both"/>
      </w:pPr>
      <w:r>
        <w:rPr>
          <w:rFonts w:ascii="Times New Roman" w:hAnsi="Times New Roman" w:eastAsia="Noto Serif CJK SC"/>
          <w:sz w:val="22"/>
        </w:rPr>
        <w:t>理论意义方面，研究尝试将质量成本理论、Stage-Gate决策与AI训练数据生产结合。传统COQ将质量相关活动划分为预防、鉴定、内部失败和外部失败[9-11]；Stage-Gate强调在高投入阶段之前设置评审门槛，允许项目继续、调整或终止[12]。本研究把Prompt规范化、伪标签诊断、第二教师调用、重训和测试风险映射到上述管理框架，形成面向AI数据项目的可操作化指标。</w:t>
      </w:r>
    </w:p>
    <w:p w14:paraId="703C30A4">
      <w:pPr>
        <w:widowControl/>
        <w:spacing w:before="0" w:after="100" w:line="360" w:lineRule="auto"/>
        <w:ind w:firstLine="420"/>
        <w:jc w:val="both"/>
      </w:pPr>
      <w:r>
        <w:rPr>
          <w:rFonts w:ascii="Times New Roman" w:hAnsi="Times New Roman" w:eastAsia="Noto Serif CJK SC"/>
          <w:sz w:val="22"/>
        </w:rPr>
        <w:t>实践价值方面，研究拟输出一套可复用的自动标签生产方法：以Grounding DINO为低成本主教师，以SAM3为条件性第二教师，通过统一YOLO下游效用、质量审计、成本日志和阶段门决定是否升级。对于类似“基础模型+训练数据+轻量学生模型”的项目，该方法可以帮助项目经理避免因技术新颖性驱动的无效算力投入，明确何时值得引入高成本模型，何时应保留简单方案。</w:t>
      </w:r>
    </w:p>
    <w:p w14:paraId="712190D7">
      <w:pPr>
        <w:pStyle w:val="3"/>
        <w:keepNext/>
        <w:widowControl/>
        <w:spacing w:before="200" w:after="100" w:line="276" w:lineRule="auto"/>
      </w:pPr>
      <w:r>
        <w:rPr>
          <w:rFonts w:ascii="Times New Roman" w:hAnsi="Times New Roman" w:eastAsia="Noto Sans CJK SC"/>
          <w:b/>
          <w:sz w:val="32"/>
        </w:rPr>
        <w:t>二、国内外研究现状与文献综述</w:t>
      </w:r>
    </w:p>
    <w:p w14:paraId="6EC5BB29">
      <w:pPr>
        <w:pStyle w:val="4"/>
        <w:keepNext/>
        <w:widowControl/>
        <w:spacing w:before="140" w:after="60" w:line="276" w:lineRule="auto"/>
      </w:pPr>
      <w:r>
        <w:rPr>
          <w:rFonts w:ascii="Times New Roman" w:hAnsi="Times New Roman" w:eastAsia="Noto Sans CJK SC"/>
          <w:b/>
          <w:sz w:val="26"/>
        </w:rPr>
        <w:t>2.1 训练数据质量与AI工程管理研究</w:t>
      </w:r>
    </w:p>
    <w:p w14:paraId="3DD379F0">
      <w:pPr>
        <w:widowControl/>
        <w:spacing w:before="0" w:after="100" w:line="360" w:lineRule="auto"/>
        <w:ind w:firstLine="420"/>
        <w:jc w:val="both"/>
      </w:pPr>
      <w:r>
        <w:rPr>
          <w:rFonts w:ascii="Times New Roman" w:hAnsi="Times New Roman" w:eastAsia="Noto Serif CJK SC"/>
          <w:sz w:val="22"/>
        </w:rPr>
        <w:t>数据质量研究长期强调质量具有多维属性。Wang和Strong指出，数据质量不能仅理解为准确性，还涉及完整性、相关性、可访问性等面向使用者的维度[16]；Batini等对数据质量评估方法进行了系统梳理[17]；Redman从企业运营角度指出低质量数据会带来显著返工和业务损失[18]。这些观点说明，训练标签的“质量”也应面向使用目的定义，而不能只看生成模型自身分数。</w:t>
      </w:r>
    </w:p>
    <w:p w14:paraId="2ED19D2C">
      <w:pPr>
        <w:widowControl/>
        <w:spacing w:before="0" w:after="100" w:line="360" w:lineRule="auto"/>
        <w:ind w:firstLine="420"/>
        <w:jc w:val="both"/>
      </w:pPr>
      <w:r>
        <w:rPr>
          <w:rFonts w:ascii="Times New Roman" w:hAnsi="Times New Roman" w:eastAsia="Noto Serif CJK SC"/>
          <w:sz w:val="22"/>
        </w:rPr>
        <w:t>在机器学习工程中，数据依赖、实验分支和模型耦合会形成长期维护成本。Sculley等提出机器学习系统存在隐性技术债务，数据依赖和实验路径会增加系统级复杂度[20]；Amershi等基于微软团队案例指出，数据发现、管理和版本化是AI工程区别于传统软件工程的核心难题[21]；Sambasivan等进一步提出数据问题可能形成“数据级联”，其影响会在下游延迟放大[22]。Datasheets for Datasets、Model Cards和NIST AI RMF均强调数据来源、版本、用途、测量与风险管理的可追溯性[19,23-24]。ML Test Score、生产数据管理、自动质量验证、标签不确定性估计与模型版本管理等研究进一步提供了工程化质量控制工具[25-30]。这些研究为本研究的版本链、日志字段与Independent Test冻结提供了治理依据。</w:t>
      </w:r>
    </w:p>
    <w:p w14:paraId="56532CAD">
      <w:pPr>
        <w:pStyle w:val="4"/>
        <w:keepNext/>
        <w:widowControl/>
        <w:spacing w:before="140" w:after="60" w:line="276" w:lineRule="auto"/>
      </w:pPr>
      <w:r>
        <w:rPr>
          <w:rFonts w:ascii="Times New Roman" w:hAnsi="Times New Roman" w:eastAsia="Noto Sans CJK SC"/>
          <w:b/>
          <w:sz w:val="26"/>
        </w:rPr>
        <w:t>2.2 伪标签、教师—学生与下游效用</w:t>
      </w:r>
    </w:p>
    <w:p w14:paraId="5E8C681E">
      <w:pPr>
        <w:widowControl/>
        <w:spacing w:before="0" w:after="100" w:line="360" w:lineRule="auto"/>
        <w:ind w:firstLine="420"/>
        <w:jc w:val="both"/>
      </w:pPr>
      <w:r>
        <w:rPr>
          <w:rFonts w:ascii="Times New Roman" w:hAnsi="Times New Roman" w:eastAsia="Noto Serif CJK SC"/>
          <w:sz w:val="22"/>
        </w:rPr>
        <w:t>伪标签和教师—学生方法的共同逻辑，是利用模型输出扩大监督信号。Pseudo-Label、Noisy Student、FixMatch等方法表明，自动生成或高置信预测可以用于半监督训练[31-33]。在目标检测中，Unbiased Teacher和Soft Teacher进一步指出，伪框存在类别不平衡、定位不确定和置信度偏差，仅依靠单一分数筛选并不足以保证框回归质量[34-35]。这与本研究早期“teacher confidence curriculum未在独立测试上形成收益”的Pilot结果一致。</w:t>
      </w:r>
    </w:p>
    <w:p w14:paraId="073A0F83">
      <w:pPr>
        <w:widowControl/>
        <w:spacing w:before="0" w:after="100" w:line="360" w:lineRule="auto"/>
        <w:ind w:firstLine="420"/>
        <w:jc w:val="both"/>
      </w:pPr>
      <w:r>
        <w:rPr>
          <w:rFonts w:ascii="Times New Roman" w:hAnsi="Times New Roman" w:eastAsia="Noto Serif CJK SC"/>
          <w:sz w:val="22"/>
        </w:rPr>
        <w:t>现有教师—学生研究多关注训练算法本身，而本研究关注的是“训练数据作为项目交付物”的生产管理：教师模型是否要被调用、输出是否要进入标签版本、标签升级是否值得带来额外重训成本。因而评价对象从单纯模型精度扩展为“标签质量—下游效用—资源成本”三者的联合结果。</w:t>
      </w:r>
    </w:p>
    <w:p w14:paraId="24ED8B7D">
      <w:pPr>
        <w:pStyle w:val="4"/>
        <w:keepNext/>
        <w:widowControl/>
        <w:spacing w:before="140" w:after="60" w:line="276" w:lineRule="auto"/>
      </w:pPr>
      <w:r>
        <w:rPr>
          <w:rFonts w:ascii="Times New Roman" w:hAnsi="Times New Roman" w:eastAsia="Noto Sans CJK SC"/>
          <w:b/>
          <w:sz w:val="26"/>
        </w:rPr>
        <w:t>2.3 开放词汇检测与Grounding DINO冷启动</w:t>
      </w:r>
    </w:p>
    <w:p w14:paraId="56C84D66">
      <w:pPr>
        <w:widowControl/>
        <w:spacing w:before="0" w:after="100" w:line="360" w:lineRule="auto"/>
        <w:ind w:firstLine="420"/>
        <w:jc w:val="both"/>
      </w:pPr>
      <w:r>
        <w:rPr>
          <w:rFonts w:ascii="Times New Roman" w:hAnsi="Times New Roman" w:eastAsia="Noto Serif CJK SC"/>
          <w:sz w:val="22"/>
        </w:rPr>
        <w:t>DETR及DINO等Transformer检测器推动了端到端目标检测[36-37]；GLIP、OWL-ViT等将视觉与语言对齐，使开放词汇检测成为可能[38-39]。Grounding DINO进一步融合文本与视觉特征，可根据自然语言类别或短语生成开放集检测框[40]，Grounding DINO 1.5继续提高开放集检测能力和效率[41]。对于缺少既有标注的新业务类别，这类模型适合承担低成本冷启动教师。</w:t>
      </w:r>
    </w:p>
    <w:p w14:paraId="2B58CEF0">
      <w:pPr>
        <w:widowControl/>
        <w:spacing w:before="0" w:after="100" w:line="360" w:lineRule="auto"/>
        <w:ind w:firstLine="420"/>
        <w:jc w:val="both"/>
      </w:pPr>
      <w:r>
        <w:rPr>
          <w:rFonts w:ascii="Times New Roman" w:hAnsi="Times New Roman" w:eastAsia="Noto Serif CJK SC"/>
          <w:sz w:val="22"/>
        </w:rPr>
        <w:t>但开放词汇模型存在Prompt敏感性和任务语义边界问题。同一“fire”概念在不同图像中可能对应整团火焰、局部火舌、明亮区域或与烟雾混合的燃烧区域。因此，Prompt与score threshold必须被视为生产配置项，采用分层小样本筛选、复筛和冻结，而不是在最终测试集上反复试错。</w:t>
      </w:r>
    </w:p>
    <w:p w14:paraId="551190E0">
      <w:pPr>
        <w:pStyle w:val="4"/>
        <w:keepNext/>
        <w:widowControl/>
        <w:spacing w:before="140" w:after="60" w:line="276" w:lineRule="auto"/>
      </w:pPr>
      <w:r>
        <w:rPr>
          <w:rFonts w:ascii="Times New Roman" w:hAnsi="Times New Roman" w:eastAsia="Noto Sans CJK SC"/>
          <w:b/>
          <w:sz w:val="26"/>
        </w:rPr>
        <w:t>2.4 SAM类模型与第二教师候选机制</w:t>
      </w:r>
    </w:p>
    <w:p w14:paraId="7EFDCE14">
      <w:pPr>
        <w:widowControl/>
        <w:spacing w:before="0" w:after="100" w:line="360" w:lineRule="auto"/>
        <w:ind w:firstLine="420"/>
        <w:jc w:val="both"/>
      </w:pPr>
      <w:r>
        <w:rPr>
          <w:rFonts w:ascii="Times New Roman" w:hAnsi="Times New Roman" w:eastAsia="Noto Serif CJK SC"/>
          <w:sz w:val="22"/>
        </w:rPr>
        <w:t>Segment Anything提出可提示分割，并通过大规模数据引擎实现零样本掩膜生成[42]；SAM2扩展到图像与视频统一提示分割[43]；SAM3进一步引入基于文本概念的Promptable Concept Segmentation，可在图像中检索并分割概念实例[44]。因此，从能力上看，SAM3既可以对DINO候选框进行结构性复核，也可以全图搜索DINO未覆盖的fire实例。</w:t>
      </w:r>
    </w:p>
    <w:p w14:paraId="4F6F408C">
      <w:pPr>
        <w:widowControl/>
        <w:spacing w:before="0" w:after="100" w:line="360" w:lineRule="auto"/>
        <w:ind w:firstLine="420"/>
        <w:jc w:val="both"/>
      </w:pPr>
      <w:r>
        <w:rPr>
          <w:rFonts w:ascii="Times New Roman" w:hAnsi="Times New Roman" w:eastAsia="Noto Serif CJK SC"/>
          <w:sz w:val="22"/>
        </w:rPr>
        <w:t>然而，“分割得更细”不必然意味着“检测标签更适合训练”。尤其对于火焰这类边界不稳定、实例粒度具有主观性的目标，mask-derived bounding box可能偏向局部火焰主体或把多个火舌合并，和人工检测框规范不一致。本研究因此把SAM3拆分为三种角色进行消融：语义审核（Verifier）、漏检补充（Recall Teacher）和框重定位（Localization Refiner）。第二教师的价值通过标签诊断与YOLO下游效用共同验证，避免以分割视觉效果替代训练价值。</w:t>
      </w:r>
    </w:p>
    <w:p w14:paraId="2D976D64">
      <w:pPr>
        <w:pStyle w:val="4"/>
        <w:keepNext/>
        <w:widowControl/>
        <w:spacing w:before="140" w:after="60" w:line="276" w:lineRule="auto"/>
      </w:pPr>
      <w:r>
        <w:rPr>
          <w:rFonts w:ascii="Times New Roman" w:hAnsi="Times New Roman" w:eastAsia="Noto Sans CJK SC"/>
          <w:b/>
          <w:sz w:val="26"/>
        </w:rPr>
        <w:t>2.5 质量成本、阶段门与资源配置研究</w:t>
      </w:r>
    </w:p>
    <w:p w14:paraId="17931CA6">
      <w:pPr>
        <w:widowControl/>
        <w:spacing w:before="0" w:after="100" w:line="360" w:lineRule="auto"/>
        <w:ind w:firstLine="420"/>
        <w:jc w:val="both"/>
      </w:pPr>
      <w:r>
        <w:rPr>
          <w:rFonts w:ascii="Times New Roman" w:hAnsi="Times New Roman" w:eastAsia="Noto Serif CJK SC"/>
          <w:sz w:val="22"/>
        </w:rPr>
        <w:t>Juran、Feigenbaum与Crosby形成了以预防、鉴定和失败成本为核心的质量成本思想[9-11]。其共同启示是，质量投入不是越多越好，而应比较在不同阶段投入预防与鉴定资源后，失败和返工成本是否下降。对于自动标签项目，Prompt规范和数据冻结属于预防活动，人工抽检、GT离线诊断和SAM3审核属于鉴定活动，无收益的全量推理、返工和重复训练属于内部失败。</w:t>
      </w:r>
    </w:p>
    <w:p w14:paraId="728A2ADE">
      <w:pPr>
        <w:widowControl/>
        <w:spacing w:before="0" w:after="100" w:line="360" w:lineRule="auto"/>
        <w:ind w:firstLine="420"/>
        <w:jc w:val="both"/>
      </w:pPr>
      <w:r>
        <w:rPr>
          <w:rFonts w:ascii="Times New Roman" w:hAnsi="Times New Roman" w:eastAsia="Noto Serif CJK SC"/>
          <w:sz w:val="22"/>
        </w:rPr>
        <w:t>Cooper提出的Stage-Gate系统强调项目在阶段之间设置明确的Go/Kill/Hold/Recycle决策点[12]。这与本研究“先小规模SAM3门槛、后决定是否全量2804张调用”的需求高度匹配。Flyvbjerg关于项目决策质量的研究强调在投入扩大前进行外部视角和审慎评估[15]。在资源配置层面，本研究采用Pareto非支配思想：若某方案同时成本更高、性能不更好，则应被支配并停止；若方案在Recall、mAP和成本之间形成不同权衡，则根据质量优先、成本优先和均衡情景选择。</w:t>
      </w:r>
    </w:p>
    <w:p w14:paraId="3815B626">
      <w:pPr>
        <w:pStyle w:val="4"/>
        <w:keepNext/>
        <w:widowControl/>
        <w:spacing w:before="140" w:after="60" w:line="276" w:lineRule="auto"/>
      </w:pPr>
      <w:r>
        <w:rPr>
          <w:rFonts w:ascii="Times New Roman" w:hAnsi="Times New Roman" w:eastAsia="Noto Sans CJK SC"/>
          <w:b/>
          <w:sz w:val="26"/>
        </w:rPr>
        <w:t>2.6 文献评述与研究缺口</w:t>
      </w:r>
    </w:p>
    <w:p w14:paraId="7D2CEABA">
      <w:pPr>
        <w:widowControl/>
        <w:spacing w:before="0" w:after="100" w:line="360" w:lineRule="auto"/>
        <w:ind w:firstLine="420"/>
        <w:jc w:val="both"/>
      </w:pPr>
      <w:r>
        <w:rPr>
          <w:rFonts w:ascii="Times New Roman" w:hAnsi="Times New Roman" w:eastAsia="Noto Serif CJK SC"/>
          <w:sz w:val="22"/>
        </w:rPr>
        <w:t>现有研究分别提供了开放词汇检测、提示分割、伪标签学习、数据质量和项目质量管理工具，但仍存在三类衔接缺口：其一，视觉基础模型研究通常报告模型能力，却较少以“下游学生模型的训练效用”评价自动标签是否值得生产；其二，多模型级联研究往往以更复杂架构作为目标，而缺少可终止的阶段门与边际成本规则；其三，AI数据治理强调版本与风险，但较少给出面向具体训练数据项目的质量成本映射和资源配置决策。</w:t>
      </w:r>
    </w:p>
    <w:p w14:paraId="13338C79">
      <w:pPr>
        <w:widowControl/>
        <w:spacing w:before="0" w:after="100" w:line="360" w:lineRule="auto"/>
        <w:ind w:firstLine="420"/>
        <w:jc w:val="both"/>
      </w:pPr>
      <w:r>
        <w:rPr>
          <w:rFonts w:ascii="Times New Roman" w:hAnsi="Times New Roman" w:eastAsia="Noto Serif CJK SC"/>
          <w:sz w:val="22"/>
        </w:rPr>
        <w:t>本研究的切入点不是提出新的基础模型结构，而是围绕真实训练数据生产流程，将“主教师—第二教师—下游学生”组织为可审计的工程管理对象，用实证回答第二教师何时有价值、何时应停止调用，并形成可复用的质量—成本决策机制。该定位符合MEM专业学位论文“来源于工程管理实践、综合运用工程技术与管理理论、形成可实施决策建议”的要求[1-4]。</w:t>
      </w:r>
    </w:p>
    <w:p w14:paraId="71DCA24D">
      <w:pPr>
        <w:pStyle w:val="3"/>
        <w:keepNext/>
        <w:widowControl/>
        <w:spacing w:before="200" w:after="100" w:line="276" w:lineRule="auto"/>
      </w:pPr>
      <w:r>
        <w:rPr>
          <w:rFonts w:ascii="Times New Roman" w:hAnsi="Times New Roman" w:eastAsia="Noto Sans CJK SC"/>
          <w:b/>
          <w:sz w:val="32"/>
        </w:rPr>
        <w:t>三、研究目标、核心研究问题与概念边界</w:t>
      </w:r>
    </w:p>
    <w:p w14:paraId="16320B35">
      <w:pPr>
        <w:pStyle w:val="4"/>
        <w:keepNext/>
        <w:widowControl/>
        <w:spacing w:before="140" w:after="60" w:line="276" w:lineRule="auto"/>
      </w:pPr>
      <w:r>
        <w:rPr>
          <w:rFonts w:ascii="Times New Roman" w:hAnsi="Times New Roman" w:eastAsia="Noto Sans CJK SC"/>
          <w:b/>
          <w:sz w:val="26"/>
        </w:rPr>
        <w:t>3.1 总体研究目标</w:t>
      </w:r>
    </w:p>
    <w:p w14:paraId="11A215B4">
      <w:pPr>
        <w:widowControl/>
        <w:spacing w:before="0" w:after="100" w:line="360" w:lineRule="auto"/>
        <w:ind w:firstLine="420"/>
        <w:jc w:val="both"/>
      </w:pPr>
      <w:r>
        <w:rPr>
          <w:rFonts w:ascii="Times New Roman" w:hAnsi="Times New Roman" w:eastAsia="Noto Serif CJK SC"/>
          <w:sz w:val="22"/>
        </w:rPr>
        <w:t>构建一套面向火烟目标检测训练数据生产的“低预算Prompt冻结—主教师伪标签V1—统一下游效用基线—质量诊断—双教师候选门槛—必要时全量升级—稳健性验证—质量成本与Pareto资源配置—全过程追溯”的工程管理方法，并用真实实验数据验证其技术可行性、管理有效性和适用边界。</w:t>
      </w:r>
    </w:p>
    <w:p w14:paraId="332AF057">
      <w:pPr>
        <w:pStyle w:val="16"/>
        <w:widowControl/>
        <w:spacing w:after="60" w:line="324" w:lineRule="auto"/>
        <w:ind w:left="454" w:hanging="198"/>
      </w:pPr>
      <w:r>
        <w:rPr>
          <w:rFonts w:ascii="Times New Roman" w:hAnsi="Times New Roman" w:eastAsia="Noto Serif CJK SC"/>
          <w:sz w:val="22"/>
        </w:rPr>
        <w:t>建立fire/smoke低预算序贯Prompt Benchmark，形成可复现、可冻结的主教师配置。</w:t>
      </w:r>
    </w:p>
    <w:p w14:paraId="0061B4F8">
      <w:pPr>
        <w:pStyle w:val="16"/>
        <w:widowControl/>
        <w:spacing w:after="60" w:line="324" w:lineRule="auto"/>
        <w:ind w:left="454" w:hanging="198"/>
      </w:pPr>
      <w:r>
        <w:rPr>
          <w:rFonts w:ascii="Times New Roman" w:hAnsi="Times New Roman" w:eastAsia="Noto Serif CJK SC"/>
          <w:sz w:val="22"/>
        </w:rPr>
        <w:t>量化Grounding DINO伪标签相对人工GT的下游性能保留率，识别主要标签质量缺口。</w:t>
      </w:r>
    </w:p>
    <w:p w14:paraId="3D5E0939">
      <w:pPr>
        <w:pStyle w:val="16"/>
        <w:widowControl/>
        <w:spacing w:after="60" w:line="324" w:lineRule="auto"/>
        <w:ind w:left="454" w:hanging="198"/>
      </w:pPr>
      <w:r>
        <w:rPr>
          <w:rFonts w:ascii="Times New Roman" w:hAnsi="Times New Roman" w:eastAsia="Noto Serif CJK SC"/>
          <w:sz w:val="22"/>
        </w:rPr>
        <w:t>构建不对称双教师架构，系统比较SAM3作为语义审核、漏检补充和框重定位三种角色的边际价值。</w:t>
      </w:r>
    </w:p>
    <w:p w14:paraId="7B424448">
      <w:pPr>
        <w:pStyle w:val="16"/>
        <w:widowControl/>
        <w:spacing w:after="60" w:line="324" w:lineRule="auto"/>
        <w:ind w:left="454" w:hanging="198"/>
      </w:pPr>
      <w:r>
        <w:rPr>
          <w:rFonts w:ascii="Times New Roman" w:hAnsi="Times New Roman" w:eastAsia="Noto Serif CJK SC"/>
          <w:sz w:val="22"/>
        </w:rPr>
        <w:t>建立以Stage-Gate、COQ、Pareto和边际收益为核心的升级/停止规则，控制GPU、人工和重训资源。</w:t>
      </w:r>
    </w:p>
    <w:p w14:paraId="5D11AFD8">
      <w:pPr>
        <w:pStyle w:val="16"/>
        <w:widowControl/>
        <w:spacing w:after="60" w:line="324" w:lineRule="auto"/>
        <w:ind w:left="454" w:hanging="198"/>
      </w:pPr>
      <w:r>
        <w:rPr>
          <w:rFonts w:ascii="Times New Roman" w:hAnsi="Times New Roman" w:eastAsia="Noto Serif CJK SC"/>
          <w:sz w:val="22"/>
        </w:rPr>
        <w:t>建立最小可追溯字段和版本链，使Prompt、标签、模型、训练run和测试报告可复现、可回滚。</w:t>
      </w:r>
    </w:p>
    <w:p w14:paraId="74750A8E">
      <w:pPr>
        <w:pStyle w:val="4"/>
        <w:keepNext/>
        <w:widowControl/>
        <w:spacing w:before="140" w:after="60" w:line="276" w:lineRule="auto"/>
      </w:pPr>
      <w:r>
        <w:rPr>
          <w:rFonts w:ascii="Times New Roman" w:hAnsi="Times New Roman" w:eastAsia="Noto Sans CJK SC"/>
          <w:b/>
          <w:sz w:val="26"/>
        </w:rPr>
        <w:t>3.2 核心研究问题</w:t>
      </w:r>
    </w:p>
    <w:p w14:paraId="0432BA03">
      <w:pPr>
        <w:widowControl/>
        <w:spacing w:before="0" w:after="100" w:line="360" w:lineRule="auto"/>
        <w:ind w:firstLine="0"/>
        <w:jc w:val="both"/>
      </w:pPr>
      <w:r>
        <w:rPr>
          <w:rFonts w:ascii="Times New Roman" w:hAnsi="Times New Roman" w:eastAsia="Noto Serif CJK SC"/>
          <w:b/>
          <w:sz w:val="22"/>
        </w:rPr>
        <w:t>RQ1：</w:t>
      </w:r>
      <w:r>
        <w:rPr>
          <w:rFonts w:ascii="Times New Roman" w:hAnsi="Times New Roman" w:eastAsia="Noto Serif CJK SC"/>
          <w:sz w:val="22"/>
        </w:rPr>
        <w:t>在有限开发数据与算力预算下，如何通过分层粗筛、复筛和阈值稳定性验证，低成本冻结适用于fire/smoke自动标注的Grounding DINO Prompt与阈值？</w:t>
      </w:r>
    </w:p>
    <w:p w14:paraId="392FC3F0">
      <w:pPr>
        <w:widowControl/>
        <w:spacing w:before="0" w:after="100" w:line="360" w:lineRule="auto"/>
        <w:ind w:firstLine="0"/>
        <w:jc w:val="both"/>
      </w:pPr>
      <w:r>
        <w:rPr>
          <w:rFonts w:ascii="Times New Roman" w:hAnsi="Times New Roman" w:eastAsia="Noto Serif CJK SC"/>
          <w:b/>
          <w:sz w:val="22"/>
        </w:rPr>
        <w:t>RQ2：</w:t>
      </w:r>
      <w:r>
        <w:rPr>
          <w:rFonts w:ascii="Times New Roman" w:hAnsi="Times New Roman" w:eastAsia="Noto Serif CJK SC"/>
          <w:sz w:val="22"/>
        </w:rPr>
        <w:t>Grounding DINO自动标签能够保留多少人工监督的YOLO下游效用，其主要质量缺口来自missing、false positive、定位偏差、框尺度异常还是实例粒度不一致？</w:t>
      </w:r>
    </w:p>
    <w:p w14:paraId="682E458E">
      <w:pPr>
        <w:widowControl/>
        <w:spacing w:before="0" w:after="100" w:line="360" w:lineRule="auto"/>
        <w:ind w:firstLine="0"/>
        <w:jc w:val="both"/>
      </w:pPr>
      <w:r>
        <w:rPr>
          <w:rFonts w:ascii="Times New Roman" w:hAnsi="Times New Roman" w:eastAsia="Noto Serif CJK SC"/>
          <w:b/>
          <w:sz w:val="22"/>
        </w:rPr>
        <w:t>RQ3：</w:t>
      </w:r>
      <w:r>
        <w:rPr>
          <w:rFonts w:ascii="Times New Roman" w:hAnsi="Times New Roman" w:eastAsia="Noto Serif CJK SC"/>
          <w:sz w:val="22"/>
        </w:rPr>
        <w:t>在不对称双教师架构中，SAM3作为Verifier、Recall Teacher或Localization Refiner时，哪些作用能够产生超过训练随机波动的稳定下游收益，哪些作用仅改变标签外观或Precision/Recall权衡？</w:t>
      </w:r>
    </w:p>
    <w:p w14:paraId="0AD60821">
      <w:pPr>
        <w:widowControl/>
        <w:spacing w:before="0" w:after="100" w:line="360" w:lineRule="auto"/>
        <w:ind w:firstLine="0"/>
        <w:jc w:val="both"/>
      </w:pPr>
      <w:r>
        <w:rPr>
          <w:rFonts w:ascii="Times New Roman" w:hAnsi="Times New Roman" w:eastAsia="Noto Serif CJK SC"/>
          <w:b/>
          <w:sz w:val="22"/>
        </w:rPr>
        <w:t>RQ4：</w:t>
      </w:r>
      <w:r>
        <w:rPr>
          <w:rFonts w:ascii="Times New Roman" w:hAnsi="Times New Roman" w:eastAsia="Noto Serif CJK SC"/>
          <w:sz w:val="22"/>
        </w:rPr>
        <w:t>在预算、周期和质量门槛约束下，如何基于质量成本、边际收益和Pareto前沿决定继续调用第二教师、全量升级、回退或停止模型级联？</w:t>
      </w:r>
    </w:p>
    <w:p w14:paraId="5A5170F9">
      <w:pPr>
        <w:pStyle w:val="4"/>
        <w:keepNext/>
        <w:widowControl/>
        <w:spacing w:before="140" w:after="60" w:line="276" w:lineRule="auto"/>
      </w:pPr>
      <w:r>
        <w:rPr>
          <w:rFonts w:ascii="Times New Roman" w:hAnsi="Times New Roman" w:eastAsia="Noto Sans CJK SC"/>
          <w:b/>
          <w:sz w:val="26"/>
        </w:rPr>
        <w:t>3.3 研究边界与关键概念</w:t>
      </w:r>
    </w:p>
    <w:p w14:paraId="1A251D82">
      <w:pPr>
        <w:widowControl/>
        <w:spacing w:before="0" w:after="100" w:line="360" w:lineRule="auto"/>
        <w:ind w:firstLine="420"/>
        <w:jc w:val="both"/>
      </w:pPr>
      <w:r>
        <w:rPr>
          <w:rFonts w:ascii="Times New Roman" w:hAnsi="Times New Roman" w:eastAsia="Noto Serif CJK SC"/>
          <w:sz w:val="22"/>
        </w:rPr>
        <w:t>研究对象是“训练数据自动生产流程的质量与资源决策”，而不是比较Grounding DINO、SAM3与YOLO谁更先进。Grounding DINO定义为主教师（Detection Teacher），负责候选发现和最终检测框的默认定位；SAM3定义为第二教师（Quality/Recall Teacher），其调用权和标签修改权受门槛控制；YOLO定义为统一的下游效用验证模型（Student/Utility Evaluator）。</w:t>
      </w:r>
    </w:p>
    <w:p w14:paraId="5CE7E19D">
      <w:pPr>
        <w:widowControl/>
        <w:spacing w:before="0" w:after="100" w:line="360" w:lineRule="auto"/>
        <w:ind w:firstLine="420"/>
        <w:jc w:val="both"/>
      </w:pPr>
      <w:r>
        <w:rPr>
          <w:rFonts w:ascii="Times New Roman" w:hAnsi="Times New Roman" w:eastAsia="Noto Serif CJK SC"/>
          <w:sz w:val="22"/>
        </w:rPr>
        <w:t>“双教师”在本文中是研究机制而非结果承诺：架构层面始终存在主教师与第二教师的候选协同关系；生产层面是否让SAM3进入最终V2由实证门槛决定。若SAM3未通过门槛，论文仍可通过“第二教师边际价值不足—停止升级—冻结主教师V1”形成完整结论。</w:t>
      </w:r>
    </w:p>
    <w:p w14:paraId="75473EAC">
      <w:pPr>
        <w:widowControl/>
        <w:spacing w:before="0" w:after="100" w:line="360" w:lineRule="auto"/>
        <w:ind w:firstLine="420"/>
        <w:jc w:val="both"/>
      </w:pPr>
      <w:r>
        <w:rPr>
          <w:rFonts w:ascii="Times New Roman" w:hAnsi="Times New Roman" w:eastAsia="Noto Serif CJK SC"/>
          <w:sz w:val="22"/>
        </w:rPr>
        <w:t>“标签质量”与“下游效用”严格区分。标签质量关注目标覆盖、假阳性、框几何、实例粒度和一致性；下游效用关注使用该标签训练YOLO后在冻结测试集上的Precision、Recall、mAP@0.5和mAP@0.5:0.95。SAM3只有在标签层或下游层达到预先定义的门槛时，才被视为有效资源投入。</w:t>
      </w:r>
    </w:p>
    <w:p w14:paraId="5850D648">
      <w:pPr>
        <w:widowControl/>
        <w:spacing w:before="0" w:after="100" w:line="360" w:lineRule="auto"/>
        <w:ind w:firstLine="420"/>
        <w:jc w:val="both"/>
      </w:pPr>
      <w:r>
        <w:rPr>
          <w:rFonts w:ascii="Times New Roman" w:hAnsi="Times New Roman" w:eastAsia="Noto Serif CJK SC"/>
          <w:sz w:val="22"/>
        </w:rPr>
        <w:t>“Independent Test”仅用于最终评估，不用于阈值选择。当前274张集合已在Pilot阶段被多次查看，因此正式研究开始后应将其冻结为Pilot-Test并停止调参；若存在从未用于任何方案选择的人工GT样本，应另建Final Holdout。若客观上无法另建，则需在论文中如实披露前期使用限制，并通过多seed、bootstrap置信区间和分层报告降低偶然性。</w:t>
      </w:r>
    </w:p>
    <w:p w14:paraId="48D90525">
      <w:pPr>
        <w:pStyle w:val="4"/>
        <w:keepNext/>
        <w:widowControl/>
        <w:spacing w:before="140" w:after="60" w:line="276" w:lineRule="auto"/>
      </w:pPr>
      <w:r>
        <w:rPr>
          <w:rFonts w:ascii="Times New Roman" w:hAnsi="Times New Roman" w:eastAsia="Noto Sans CJK SC"/>
          <w:b/>
          <w:sz w:val="26"/>
        </w:rPr>
        <w:t>3.4 关键评价指标</w:t>
      </w:r>
    </w:p>
    <w:p w14:paraId="3A9C51FC">
      <w:pPr>
        <w:widowControl/>
        <w:spacing w:before="0" w:after="100" w:line="360" w:lineRule="auto"/>
        <w:ind w:firstLine="420"/>
        <w:jc w:val="both"/>
      </w:pPr>
      <w:r>
        <w:rPr>
          <w:rFonts w:ascii="Times New Roman" w:hAnsi="Times New Roman" w:eastAsia="Noto Serif CJK SC"/>
          <w:sz w:val="22"/>
        </w:rPr>
        <w:t>为量化自动标签相对人工标签的训练价值，定义性能保留率：</w:t>
      </w:r>
    </w:p>
    <w:p w14:paraId="3FBCD2AD">
      <w:pPr>
        <w:widowControl/>
        <w:spacing w:before="60" w:after="60"/>
        <w:jc w:val="center"/>
      </w:pPr>
      <w:r>
        <w:rPr>
          <w:rFonts w:ascii="Times New Roman" w:hAnsi="Times New Roman" w:eastAsia="Noto Serif CJK SC"/>
          <w:i/>
          <w:sz w:val="22"/>
        </w:rPr>
        <w:t>R(M,j) = M(j) / M(GT)</w:t>
      </w:r>
    </w:p>
    <w:p w14:paraId="39DA655F">
      <w:pPr>
        <w:widowControl/>
        <w:spacing w:before="0" w:after="100" w:line="360" w:lineRule="auto"/>
        <w:ind w:firstLine="420"/>
        <w:jc w:val="both"/>
      </w:pPr>
      <w:r>
        <w:rPr>
          <w:rFonts w:ascii="Times New Roman" w:hAnsi="Times New Roman" w:eastAsia="Noto Serif CJK SC"/>
          <w:sz w:val="22"/>
        </w:rPr>
        <w:t>其中，M(j)为方案j训练出的YOLO在同一冻结测试集上的指标，M(GT)为人工GT基线。主报告同时给出绝对差值ΔM，避免只用比例掩盖小数值变化。</w:t>
      </w:r>
    </w:p>
    <w:p w14:paraId="472BAC1A">
      <w:pPr>
        <w:widowControl/>
        <w:spacing w:before="0" w:after="100" w:line="360" w:lineRule="auto"/>
        <w:ind w:firstLine="420"/>
        <w:jc w:val="both"/>
      </w:pPr>
      <w:r>
        <w:rPr>
          <w:rFonts w:ascii="Times New Roman" w:hAnsi="Times New Roman" w:eastAsia="Noto Serif CJK SC"/>
          <w:sz w:val="22"/>
        </w:rPr>
        <w:t>为评价新增资源的边际效率，定义：</w:t>
      </w:r>
    </w:p>
    <w:p w14:paraId="144A56DF">
      <w:pPr>
        <w:widowControl/>
        <w:spacing w:before="60" w:after="60"/>
        <w:jc w:val="center"/>
      </w:pPr>
      <w:r>
        <w:rPr>
          <w:rFonts w:ascii="Times New Roman" w:hAnsi="Times New Roman" w:eastAsia="Noto Serif CJK SC"/>
          <w:i/>
          <w:sz w:val="22"/>
        </w:rPr>
        <w:t>ME(M,j) = [M(j) - M(base)] / [C(j) - C(base)]</w:t>
      </w:r>
    </w:p>
    <w:p w14:paraId="3D128E7D">
      <w:pPr>
        <w:widowControl/>
        <w:spacing w:before="0" w:after="100" w:line="360" w:lineRule="auto"/>
        <w:ind w:firstLine="420"/>
        <w:jc w:val="both"/>
      </w:pPr>
      <w:r>
        <w:rPr>
          <w:rFonts w:ascii="Times New Roman" w:hAnsi="Times New Roman" w:eastAsia="Noto Serif CJK SC"/>
          <w:sz w:val="22"/>
        </w:rPr>
        <w:t>其中C(j)优先使用GPU小时、人工小时、全量调用次数、重训次数和交付周期等可观测资源；货币化仅作为情景敏感性分析，不对外部安全失败做主观货币估值。</w:t>
      </w:r>
    </w:p>
    <w:p w14:paraId="407B1E40">
      <w:pPr>
        <w:pStyle w:val="3"/>
        <w:keepNext/>
        <w:widowControl/>
        <w:spacing w:before="200" w:after="100" w:line="276" w:lineRule="auto"/>
      </w:pPr>
      <w:r>
        <w:rPr>
          <w:rFonts w:ascii="Times New Roman" w:hAnsi="Times New Roman" w:eastAsia="Noto Sans CJK SC"/>
          <w:b/>
          <w:sz w:val="32"/>
        </w:rPr>
        <w:t>四、理论基础与双教师工程管理研究框架</w:t>
      </w:r>
    </w:p>
    <w:p w14:paraId="0D06AD93">
      <w:pPr>
        <w:pStyle w:val="4"/>
        <w:keepNext/>
        <w:widowControl/>
        <w:spacing w:before="140" w:after="60" w:line="276" w:lineRule="auto"/>
      </w:pPr>
      <w:r>
        <w:rPr>
          <w:rFonts w:ascii="Times New Roman" w:hAnsi="Times New Roman" w:eastAsia="Noto Sans CJK SC"/>
          <w:b/>
          <w:sz w:val="26"/>
        </w:rPr>
        <w:t>4.1 质量成本（COQ）映射</w:t>
      </w:r>
    </w:p>
    <w:p w14:paraId="6D8AA177">
      <w:pPr>
        <w:widowControl/>
        <w:spacing w:before="80" w:after="80"/>
        <w:jc w:val="center"/>
      </w:pPr>
      <w:r>
        <w:rPr>
          <w:rFonts w:ascii="Times New Roman" w:hAnsi="Times New Roman" w:eastAsia="Noto Sans CJK SC"/>
          <w:b/>
          <w:sz w:val="18"/>
        </w:rPr>
        <w:t>表4-1  AI训练数据生产的质量成本映射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20F1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shd w:val="clear" w:color="auto" w:fill="D9EAF7"/>
            <w:tcMar>
              <w:top w:w="110" w:type="dxa"/>
              <w:left w:w="100" w:type="dxa"/>
              <w:bottom w:w="110" w:type="dxa"/>
              <w:right w:w="100" w:type="dxa"/>
            </w:tcMar>
            <w:vAlign w:val="center"/>
          </w:tcPr>
          <w:p w14:paraId="6821CA82">
            <w:pPr>
              <w:spacing w:after="0" w:line="240" w:lineRule="auto"/>
              <w:jc w:val="center"/>
            </w:pPr>
            <w:r>
              <w:rPr>
                <w:rFonts w:ascii="Times New Roman" w:hAnsi="Times New Roman" w:eastAsia="Noto Sans CJK SC"/>
                <w:b/>
                <w:sz w:val="18"/>
              </w:rPr>
              <w:t>COQ类别</w:t>
            </w:r>
          </w:p>
        </w:tc>
        <w:tc>
          <w:tcPr>
            <w:tcW w:w="4195" w:type="dxa"/>
            <w:shd w:val="clear" w:color="auto" w:fill="D9EAF7"/>
            <w:tcMar>
              <w:top w:w="110" w:type="dxa"/>
              <w:left w:w="100" w:type="dxa"/>
              <w:bottom w:w="110" w:type="dxa"/>
              <w:right w:w="100" w:type="dxa"/>
            </w:tcMar>
            <w:vAlign w:val="center"/>
          </w:tcPr>
          <w:p w14:paraId="39F45547">
            <w:pPr>
              <w:spacing w:after="0" w:line="240" w:lineRule="auto"/>
              <w:jc w:val="center"/>
            </w:pPr>
            <w:r>
              <w:rPr>
                <w:rFonts w:ascii="Times New Roman" w:hAnsi="Times New Roman" w:eastAsia="Noto Sans CJK SC"/>
                <w:b/>
                <w:sz w:val="18"/>
              </w:rPr>
              <w:t>本研究对应活动</w:t>
            </w:r>
          </w:p>
        </w:tc>
        <w:tc>
          <w:tcPr>
            <w:tcW w:w="3231" w:type="dxa"/>
            <w:shd w:val="clear" w:color="auto" w:fill="D9EAF7"/>
            <w:tcMar>
              <w:top w:w="110" w:type="dxa"/>
              <w:left w:w="100" w:type="dxa"/>
              <w:bottom w:w="110" w:type="dxa"/>
              <w:right w:w="100" w:type="dxa"/>
            </w:tcMar>
            <w:vAlign w:val="center"/>
          </w:tcPr>
          <w:p w14:paraId="2BC09DC6">
            <w:pPr>
              <w:spacing w:after="0" w:line="240" w:lineRule="auto"/>
              <w:jc w:val="center"/>
            </w:pPr>
            <w:r>
              <w:rPr>
                <w:rFonts w:ascii="Times New Roman" w:hAnsi="Times New Roman" w:eastAsia="Noto Sans CJK SC"/>
                <w:b/>
                <w:sz w:val="18"/>
              </w:rPr>
              <w:t>管理目的</w:t>
            </w:r>
          </w:p>
        </w:tc>
      </w:tr>
      <w:tr w14:paraId="5387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2923376D">
            <w:pPr>
              <w:spacing w:after="0" w:line="276" w:lineRule="auto"/>
              <w:jc w:val="center"/>
            </w:pPr>
            <w:r>
              <w:rPr>
                <w:rFonts w:ascii="Times New Roman" w:hAnsi="Times New Roman" w:eastAsia="Noto Serif CJK SC"/>
                <w:sz w:val="18"/>
              </w:rPr>
              <w:t>预防成本</w:t>
            </w:r>
          </w:p>
        </w:tc>
        <w:tc>
          <w:tcPr>
            <w:tcW w:w="4195" w:type="dxa"/>
            <w:tcMar>
              <w:top w:w="90" w:type="dxa"/>
              <w:left w:w="100" w:type="dxa"/>
              <w:bottom w:w="90" w:type="dxa"/>
              <w:right w:w="100" w:type="dxa"/>
            </w:tcMar>
            <w:vAlign w:val="center"/>
          </w:tcPr>
          <w:p w14:paraId="7C4F318A">
            <w:pPr>
              <w:spacing w:after="0" w:line="276" w:lineRule="auto"/>
              <w:jc w:val="left"/>
            </w:pPr>
            <w:r>
              <w:rPr>
                <w:rFonts w:ascii="Times New Roman" w:hAnsi="Times New Roman" w:eastAsia="Noto Serif CJK SC"/>
                <w:sz w:val="18"/>
              </w:rPr>
              <w:t>Prompt候选设计、数据分层、source_group_id、阈值冻结、标注规范</w:t>
            </w:r>
          </w:p>
        </w:tc>
        <w:tc>
          <w:tcPr>
            <w:tcW w:w="3231" w:type="dxa"/>
            <w:tcMar>
              <w:top w:w="90" w:type="dxa"/>
              <w:left w:w="100" w:type="dxa"/>
              <w:bottom w:w="90" w:type="dxa"/>
              <w:right w:w="100" w:type="dxa"/>
            </w:tcMar>
            <w:vAlign w:val="center"/>
          </w:tcPr>
          <w:p w14:paraId="39E53EE7">
            <w:pPr>
              <w:spacing w:after="0" w:line="276" w:lineRule="auto"/>
              <w:jc w:val="left"/>
            </w:pPr>
            <w:r>
              <w:rPr>
                <w:rFonts w:ascii="Times New Roman" w:hAnsi="Times New Roman" w:eastAsia="Noto Serif CJK SC"/>
                <w:sz w:val="18"/>
              </w:rPr>
              <w:t>降低源头配置漂移和数据泄漏</w:t>
            </w:r>
          </w:p>
        </w:tc>
      </w:tr>
      <w:tr w14:paraId="3463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53893C5E">
            <w:pPr>
              <w:spacing w:after="0" w:line="276" w:lineRule="auto"/>
              <w:jc w:val="center"/>
            </w:pPr>
            <w:r>
              <w:rPr>
                <w:rFonts w:ascii="Times New Roman" w:hAnsi="Times New Roman" w:eastAsia="Noto Serif CJK SC"/>
                <w:sz w:val="18"/>
              </w:rPr>
              <w:t>鉴定成本</w:t>
            </w:r>
          </w:p>
        </w:tc>
        <w:tc>
          <w:tcPr>
            <w:tcW w:w="4195" w:type="dxa"/>
            <w:tcMar>
              <w:top w:w="90" w:type="dxa"/>
              <w:left w:w="100" w:type="dxa"/>
              <w:bottom w:w="90" w:type="dxa"/>
              <w:right w:w="100" w:type="dxa"/>
            </w:tcMar>
            <w:vAlign w:val="center"/>
          </w:tcPr>
          <w:p w14:paraId="340CCDC5">
            <w:pPr>
              <w:spacing w:after="0" w:line="276" w:lineRule="auto"/>
              <w:jc w:val="left"/>
            </w:pPr>
            <w:r>
              <w:rPr>
                <w:rFonts w:ascii="Times New Roman" w:hAnsi="Times New Roman" w:eastAsia="Noto Serif CJK SC"/>
                <w:sz w:val="18"/>
              </w:rPr>
              <w:t>GT抽检、离线诊断、SAM3小样本审核、下游YOLO门槛训练</w:t>
            </w:r>
          </w:p>
        </w:tc>
        <w:tc>
          <w:tcPr>
            <w:tcW w:w="3231" w:type="dxa"/>
            <w:tcMar>
              <w:top w:w="90" w:type="dxa"/>
              <w:left w:w="100" w:type="dxa"/>
              <w:bottom w:w="90" w:type="dxa"/>
              <w:right w:w="100" w:type="dxa"/>
            </w:tcMar>
            <w:vAlign w:val="center"/>
          </w:tcPr>
          <w:p w14:paraId="20A8715E">
            <w:pPr>
              <w:spacing w:after="0" w:line="276" w:lineRule="auto"/>
              <w:jc w:val="left"/>
            </w:pPr>
            <w:r>
              <w:rPr>
                <w:rFonts w:ascii="Times New Roman" w:hAnsi="Times New Roman" w:eastAsia="Noto Serif CJK SC"/>
                <w:sz w:val="18"/>
              </w:rPr>
              <w:t>在全量升级前识别质量风险</w:t>
            </w:r>
          </w:p>
        </w:tc>
      </w:tr>
      <w:tr w14:paraId="6630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6F92A394">
            <w:pPr>
              <w:spacing w:after="0" w:line="276" w:lineRule="auto"/>
              <w:jc w:val="center"/>
            </w:pPr>
            <w:r>
              <w:rPr>
                <w:rFonts w:ascii="Times New Roman" w:hAnsi="Times New Roman" w:eastAsia="Noto Serif CJK SC"/>
                <w:sz w:val="18"/>
              </w:rPr>
              <w:t>内部失败成本</w:t>
            </w:r>
          </w:p>
        </w:tc>
        <w:tc>
          <w:tcPr>
            <w:tcW w:w="4195" w:type="dxa"/>
            <w:tcMar>
              <w:top w:w="90" w:type="dxa"/>
              <w:left w:w="100" w:type="dxa"/>
              <w:bottom w:w="90" w:type="dxa"/>
              <w:right w:w="100" w:type="dxa"/>
            </w:tcMar>
            <w:vAlign w:val="center"/>
          </w:tcPr>
          <w:p w14:paraId="5BE807C4">
            <w:pPr>
              <w:spacing w:after="0" w:line="276" w:lineRule="auto"/>
              <w:jc w:val="left"/>
            </w:pPr>
            <w:r>
              <w:rPr>
                <w:rFonts w:ascii="Times New Roman" w:hAnsi="Times New Roman" w:eastAsia="Noto Serif CJK SC"/>
                <w:sz w:val="18"/>
              </w:rPr>
              <w:t>无效全量SAM推理、错误标签返工、重复训练、回滚</w:t>
            </w:r>
          </w:p>
        </w:tc>
        <w:tc>
          <w:tcPr>
            <w:tcW w:w="3231" w:type="dxa"/>
            <w:tcMar>
              <w:top w:w="90" w:type="dxa"/>
              <w:left w:w="100" w:type="dxa"/>
              <w:bottom w:w="90" w:type="dxa"/>
              <w:right w:w="100" w:type="dxa"/>
            </w:tcMar>
            <w:vAlign w:val="center"/>
          </w:tcPr>
          <w:p w14:paraId="2A9FE518">
            <w:pPr>
              <w:spacing w:after="0" w:line="276" w:lineRule="auto"/>
              <w:jc w:val="left"/>
            </w:pPr>
            <w:r>
              <w:rPr>
                <w:rFonts w:ascii="Times New Roman" w:hAnsi="Times New Roman" w:eastAsia="Noto Serif CJK SC"/>
                <w:sz w:val="18"/>
              </w:rPr>
              <w:t>衡量复杂化造成的资源浪费</w:t>
            </w:r>
          </w:p>
        </w:tc>
      </w:tr>
      <w:tr w14:paraId="27AC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502E0F39">
            <w:pPr>
              <w:spacing w:after="0" w:line="276" w:lineRule="auto"/>
              <w:jc w:val="center"/>
            </w:pPr>
            <w:r>
              <w:rPr>
                <w:rFonts w:ascii="Times New Roman" w:hAnsi="Times New Roman" w:eastAsia="Noto Serif CJK SC"/>
                <w:sz w:val="18"/>
              </w:rPr>
              <w:t>外部失败风险</w:t>
            </w:r>
          </w:p>
        </w:tc>
        <w:tc>
          <w:tcPr>
            <w:tcW w:w="4195" w:type="dxa"/>
            <w:tcMar>
              <w:top w:w="90" w:type="dxa"/>
              <w:left w:w="100" w:type="dxa"/>
              <w:bottom w:w="90" w:type="dxa"/>
              <w:right w:w="100" w:type="dxa"/>
            </w:tcMar>
            <w:vAlign w:val="center"/>
          </w:tcPr>
          <w:p w14:paraId="6B7150BD">
            <w:pPr>
              <w:spacing w:after="0" w:line="276" w:lineRule="auto"/>
              <w:jc w:val="left"/>
            </w:pPr>
            <w:r>
              <w:rPr>
                <w:rFonts w:ascii="Times New Roman" w:hAnsi="Times New Roman" w:eastAsia="Noto Serif CJK SC"/>
                <w:sz w:val="18"/>
              </w:rPr>
              <w:t>Independent Test关键FN、Recall/mAP下降、跨来源泛化缺口</w:t>
            </w:r>
          </w:p>
        </w:tc>
        <w:tc>
          <w:tcPr>
            <w:tcW w:w="3231" w:type="dxa"/>
            <w:tcMar>
              <w:top w:w="90" w:type="dxa"/>
              <w:left w:w="100" w:type="dxa"/>
              <w:bottom w:w="90" w:type="dxa"/>
              <w:right w:w="100" w:type="dxa"/>
            </w:tcMar>
            <w:vAlign w:val="center"/>
          </w:tcPr>
          <w:p w14:paraId="205BB1D3">
            <w:pPr>
              <w:spacing w:after="0" w:line="276" w:lineRule="auto"/>
              <w:jc w:val="left"/>
            </w:pPr>
            <w:r>
              <w:rPr>
                <w:rFonts w:ascii="Times New Roman" w:hAnsi="Times New Roman" w:eastAsia="Noto Serif CJK SC"/>
                <w:sz w:val="18"/>
              </w:rPr>
              <w:t>作为交付质量约束，不强行货币化</w:t>
            </w:r>
          </w:p>
        </w:tc>
      </w:tr>
    </w:tbl>
    <w:p w14:paraId="7934FDE2">
      <w:pPr>
        <w:widowControl/>
        <w:spacing w:after="20"/>
      </w:pPr>
    </w:p>
    <w:p w14:paraId="5FB27775">
      <w:pPr>
        <w:pStyle w:val="4"/>
        <w:keepNext/>
        <w:widowControl/>
        <w:spacing w:before="140" w:after="60" w:line="276" w:lineRule="auto"/>
      </w:pPr>
      <w:r>
        <w:rPr>
          <w:rFonts w:ascii="Times New Roman" w:hAnsi="Times New Roman" w:eastAsia="Noto Sans CJK SC"/>
          <w:b/>
          <w:sz w:val="26"/>
        </w:rPr>
        <w:t>4.2 Stage-Gate阶段门设计</w:t>
      </w:r>
    </w:p>
    <w:p w14:paraId="28878F15">
      <w:pPr>
        <w:widowControl/>
        <w:spacing w:before="0" w:after="100" w:line="360" w:lineRule="auto"/>
        <w:ind w:firstLine="420"/>
        <w:jc w:val="both"/>
      </w:pPr>
      <w:r>
        <w:rPr>
          <w:rFonts w:ascii="Times New Roman" w:hAnsi="Times New Roman" w:eastAsia="Noto Serif CJK SC"/>
          <w:sz w:val="22"/>
        </w:rPr>
        <w:t>Stage-Gate不用于“证明复杂方案”，而用于控制不可逆或高成本投入。每个门都允许Go、Hold、Recycle或Stop。正式研究按以下阶段执行：</w:t>
      </w:r>
    </w:p>
    <w:p w14:paraId="3A5826AB">
      <w:pPr>
        <w:widowControl/>
        <w:spacing w:before="80" w:after="80"/>
        <w:jc w:val="center"/>
      </w:pPr>
      <w:r>
        <w:rPr>
          <w:rFonts w:ascii="Times New Roman" w:hAnsi="Times New Roman" w:eastAsia="Noto Sans CJK SC"/>
          <w:b/>
          <w:sz w:val="18"/>
        </w:rPr>
        <w:t>表4-2  正式研究的Stage-Gate结构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6C87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tcMar>
              <w:top w:w="110" w:type="dxa"/>
              <w:left w:w="100" w:type="dxa"/>
              <w:bottom w:w="110" w:type="dxa"/>
              <w:right w:w="100" w:type="dxa"/>
            </w:tcMar>
            <w:vAlign w:val="center"/>
          </w:tcPr>
          <w:p w14:paraId="5E2787BC">
            <w:pPr>
              <w:spacing w:after="0" w:line="240" w:lineRule="auto"/>
              <w:jc w:val="center"/>
            </w:pPr>
            <w:r>
              <w:rPr>
                <w:rFonts w:ascii="Times New Roman" w:hAnsi="Times New Roman" w:eastAsia="Noto Sans CJK SC"/>
                <w:b/>
                <w:sz w:val="18"/>
              </w:rPr>
              <w:t>阶段门</w:t>
            </w:r>
          </w:p>
        </w:tc>
        <w:tc>
          <w:tcPr>
            <w:tcW w:w="3685" w:type="dxa"/>
            <w:shd w:val="clear" w:color="auto" w:fill="D9EAF7"/>
            <w:tcMar>
              <w:top w:w="110" w:type="dxa"/>
              <w:left w:w="100" w:type="dxa"/>
              <w:bottom w:w="110" w:type="dxa"/>
              <w:right w:w="100" w:type="dxa"/>
            </w:tcMar>
            <w:vAlign w:val="center"/>
          </w:tcPr>
          <w:p w14:paraId="4F2B18D7">
            <w:pPr>
              <w:spacing w:after="0" w:line="240" w:lineRule="auto"/>
              <w:jc w:val="center"/>
            </w:pPr>
            <w:r>
              <w:rPr>
                <w:rFonts w:ascii="Times New Roman" w:hAnsi="Times New Roman" w:eastAsia="Noto Sans CJK SC"/>
                <w:b/>
                <w:sz w:val="18"/>
              </w:rPr>
              <w:t>关键输入</w:t>
            </w:r>
          </w:p>
        </w:tc>
        <w:tc>
          <w:tcPr>
            <w:tcW w:w="3628" w:type="dxa"/>
            <w:shd w:val="clear" w:color="auto" w:fill="D9EAF7"/>
            <w:tcMar>
              <w:top w:w="110" w:type="dxa"/>
              <w:left w:w="100" w:type="dxa"/>
              <w:bottom w:w="110" w:type="dxa"/>
              <w:right w:w="100" w:type="dxa"/>
            </w:tcMar>
            <w:vAlign w:val="center"/>
          </w:tcPr>
          <w:p w14:paraId="53B5B414">
            <w:pPr>
              <w:spacing w:after="0" w:line="240" w:lineRule="auto"/>
              <w:jc w:val="center"/>
            </w:pPr>
            <w:r>
              <w:rPr>
                <w:rFonts w:ascii="Times New Roman" w:hAnsi="Times New Roman" w:eastAsia="Noto Sans CJK SC"/>
                <w:b/>
                <w:sz w:val="18"/>
              </w:rPr>
              <w:t>Go/Stop依据</w:t>
            </w:r>
          </w:p>
        </w:tc>
      </w:tr>
      <w:tr w14:paraId="71AD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3923335D">
            <w:pPr>
              <w:spacing w:after="0" w:line="276" w:lineRule="auto"/>
              <w:jc w:val="center"/>
            </w:pPr>
            <w:r>
              <w:rPr>
                <w:rFonts w:ascii="Times New Roman" w:hAnsi="Times New Roman" w:eastAsia="Noto Serif CJK SC"/>
                <w:sz w:val="18"/>
              </w:rPr>
              <w:t>G0 协议门</w:t>
            </w:r>
          </w:p>
        </w:tc>
        <w:tc>
          <w:tcPr>
            <w:tcW w:w="3685" w:type="dxa"/>
            <w:tcMar>
              <w:top w:w="90" w:type="dxa"/>
              <w:left w:w="100" w:type="dxa"/>
              <w:bottom w:w="90" w:type="dxa"/>
              <w:right w:w="100" w:type="dxa"/>
            </w:tcMar>
            <w:vAlign w:val="center"/>
          </w:tcPr>
          <w:p w14:paraId="79D57E9F">
            <w:pPr>
              <w:spacing w:after="0" w:line="276" w:lineRule="auto"/>
              <w:jc w:val="left"/>
            </w:pPr>
            <w:r>
              <w:rPr>
                <w:rFonts w:ascii="Times New Roman" w:hAnsi="Times New Roman" w:eastAsia="Noto Serif CJK SC"/>
                <w:sz w:val="18"/>
              </w:rPr>
              <w:t>数据版本、Prompt候选、训练参数、指标定义</w:t>
            </w:r>
          </w:p>
        </w:tc>
        <w:tc>
          <w:tcPr>
            <w:tcW w:w="3628" w:type="dxa"/>
            <w:tcMar>
              <w:top w:w="90" w:type="dxa"/>
              <w:left w:w="100" w:type="dxa"/>
              <w:bottom w:w="90" w:type="dxa"/>
              <w:right w:w="100" w:type="dxa"/>
            </w:tcMar>
            <w:vAlign w:val="center"/>
          </w:tcPr>
          <w:p w14:paraId="5FBFE19A">
            <w:pPr>
              <w:spacing w:after="0" w:line="276" w:lineRule="auto"/>
              <w:jc w:val="left"/>
            </w:pPr>
            <w:r>
              <w:rPr>
                <w:rFonts w:ascii="Times New Roman" w:hAnsi="Times New Roman" w:eastAsia="Noto Serif CJK SC"/>
                <w:sz w:val="18"/>
              </w:rPr>
              <w:t>冻结后才允许进入正式基线；测试集不参与调参</w:t>
            </w:r>
          </w:p>
        </w:tc>
      </w:tr>
      <w:tr w14:paraId="737F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1BE0582C">
            <w:pPr>
              <w:spacing w:after="0" w:line="276" w:lineRule="auto"/>
              <w:jc w:val="center"/>
            </w:pPr>
            <w:r>
              <w:rPr>
                <w:rFonts w:ascii="Times New Roman" w:hAnsi="Times New Roman" w:eastAsia="Noto Serif CJK SC"/>
                <w:sz w:val="18"/>
              </w:rPr>
              <w:t>G1 主教师门</w:t>
            </w:r>
          </w:p>
        </w:tc>
        <w:tc>
          <w:tcPr>
            <w:tcW w:w="3685" w:type="dxa"/>
            <w:tcMar>
              <w:top w:w="90" w:type="dxa"/>
              <w:left w:w="100" w:type="dxa"/>
              <w:bottom w:w="90" w:type="dxa"/>
              <w:right w:w="100" w:type="dxa"/>
            </w:tcMar>
            <w:vAlign w:val="center"/>
          </w:tcPr>
          <w:p w14:paraId="363EA8A1">
            <w:pPr>
              <w:spacing w:after="0" w:line="276" w:lineRule="auto"/>
              <w:jc w:val="left"/>
            </w:pPr>
            <w:r>
              <w:rPr>
                <w:rFonts w:ascii="Times New Roman" w:hAnsi="Times New Roman" w:eastAsia="Noto Serif CJK SC"/>
                <w:sz w:val="18"/>
              </w:rPr>
              <w:t>Grounding DINO V1 + 质量诊断</w:t>
            </w:r>
          </w:p>
        </w:tc>
        <w:tc>
          <w:tcPr>
            <w:tcW w:w="3628" w:type="dxa"/>
            <w:tcMar>
              <w:top w:w="90" w:type="dxa"/>
              <w:left w:w="100" w:type="dxa"/>
              <w:bottom w:w="90" w:type="dxa"/>
              <w:right w:w="100" w:type="dxa"/>
            </w:tcMar>
            <w:vAlign w:val="center"/>
          </w:tcPr>
          <w:p w14:paraId="2E15A154">
            <w:pPr>
              <w:spacing w:after="0" w:line="276" w:lineRule="auto"/>
              <w:jc w:val="left"/>
            </w:pPr>
            <w:r>
              <w:rPr>
                <w:rFonts w:ascii="Times New Roman" w:hAnsi="Times New Roman" w:eastAsia="Noto Serif CJK SC"/>
                <w:sz w:val="18"/>
              </w:rPr>
              <w:t>确认自动基线具有足够效用，识别主要误差机制</w:t>
            </w:r>
          </w:p>
        </w:tc>
      </w:tr>
      <w:tr w14:paraId="3D42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636330AE">
            <w:pPr>
              <w:spacing w:after="0" w:line="276" w:lineRule="auto"/>
              <w:jc w:val="center"/>
            </w:pPr>
            <w:r>
              <w:rPr>
                <w:rFonts w:ascii="Times New Roman" w:hAnsi="Times New Roman" w:eastAsia="Noto Serif CJK SC"/>
                <w:sz w:val="18"/>
              </w:rPr>
              <w:t>G2 第二教师小样本门</w:t>
            </w:r>
          </w:p>
        </w:tc>
        <w:tc>
          <w:tcPr>
            <w:tcW w:w="3685" w:type="dxa"/>
            <w:tcMar>
              <w:top w:w="90" w:type="dxa"/>
              <w:left w:w="100" w:type="dxa"/>
              <w:bottom w:w="90" w:type="dxa"/>
              <w:right w:w="100" w:type="dxa"/>
            </w:tcMar>
            <w:vAlign w:val="center"/>
          </w:tcPr>
          <w:p w14:paraId="3F269351">
            <w:pPr>
              <w:spacing w:after="0" w:line="276" w:lineRule="auto"/>
              <w:jc w:val="left"/>
            </w:pPr>
            <w:r>
              <w:rPr>
                <w:rFonts w:ascii="Times New Roman" w:hAnsi="Times New Roman" w:eastAsia="Noto Serif CJK SC"/>
                <w:sz w:val="18"/>
              </w:rPr>
              <w:t>Verifier / Append / Box-refine 小规模实验</w:t>
            </w:r>
          </w:p>
        </w:tc>
        <w:tc>
          <w:tcPr>
            <w:tcW w:w="3628" w:type="dxa"/>
            <w:tcMar>
              <w:top w:w="90" w:type="dxa"/>
              <w:left w:w="100" w:type="dxa"/>
              <w:bottom w:w="90" w:type="dxa"/>
              <w:right w:w="100" w:type="dxa"/>
            </w:tcMar>
            <w:vAlign w:val="center"/>
          </w:tcPr>
          <w:p w14:paraId="5E80163F">
            <w:pPr>
              <w:spacing w:after="0" w:line="276" w:lineRule="auto"/>
              <w:jc w:val="left"/>
            </w:pPr>
            <w:r>
              <w:rPr>
                <w:rFonts w:ascii="Times New Roman" w:hAnsi="Times New Roman" w:eastAsia="Noto Serif CJK SC"/>
                <w:sz w:val="18"/>
              </w:rPr>
              <w:t>只保留非支配且具有实际改善潜力的候选</w:t>
            </w:r>
          </w:p>
        </w:tc>
      </w:tr>
      <w:tr w14:paraId="01EB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5B465957">
            <w:pPr>
              <w:spacing w:after="0" w:line="276" w:lineRule="auto"/>
              <w:jc w:val="center"/>
            </w:pPr>
            <w:r>
              <w:rPr>
                <w:rFonts w:ascii="Times New Roman" w:hAnsi="Times New Roman" w:eastAsia="Noto Serif CJK SC"/>
                <w:sz w:val="18"/>
              </w:rPr>
              <w:t>G3 全量升级门</w:t>
            </w:r>
          </w:p>
        </w:tc>
        <w:tc>
          <w:tcPr>
            <w:tcW w:w="3685" w:type="dxa"/>
            <w:tcMar>
              <w:top w:w="90" w:type="dxa"/>
              <w:left w:w="100" w:type="dxa"/>
              <w:bottom w:w="90" w:type="dxa"/>
              <w:right w:w="100" w:type="dxa"/>
            </w:tcMar>
            <w:vAlign w:val="center"/>
          </w:tcPr>
          <w:p w14:paraId="4CBD3834">
            <w:pPr>
              <w:spacing w:after="0" w:line="276" w:lineRule="auto"/>
              <w:jc w:val="left"/>
            </w:pPr>
            <w:r>
              <w:rPr>
                <w:rFonts w:ascii="Times New Roman" w:hAnsi="Times New Roman" w:eastAsia="Noto Serif CJK SC"/>
                <w:sz w:val="18"/>
              </w:rPr>
              <w:t>通过G2的最优候选在2804张上生成V2并训练</w:t>
            </w:r>
          </w:p>
        </w:tc>
        <w:tc>
          <w:tcPr>
            <w:tcW w:w="3628" w:type="dxa"/>
            <w:tcMar>
              <w:top w:w="90" w:type="dxa"/>
              <w:left w:w="100" w:type="dxa"/>
              <w:bottom w:w="90" w:type="dxa"/>
              <w:right w:w="100" w:type="dxa"/>
            </w:tcMar>
            <w:vAlign w:val="center"/>
          </w:tcPr>
          <w:p w14:paraId="1B6D0044">
            <w:pPr>
              <w:spacing w:after="0" w:line="276" w:lineRule="auto"/>
              <w:jc w:val="left"/>
            </w:pPr>
            <w:r>
              <w:rPr>
                <w:rFonts w:ascii="Times New Roman" w:hAnsi="Times New Roman" w:eastAsia="Noto Serif CJK SC"/>
                <w:sz w:val="18"/>
              </w:rPr>
              <w:t>若无候选通过，则直接冻结V1</w:t>
            </w:r>
          </w:p>
        </w:tc>
      </w:tr>
      <w:tr w14:paraId="7BC5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1C8301B2">
            <w:pPr>
              <w:spacing w:after="0" w:line="276" w:lineRule="auto"/>
              <w:jc w:val="center"/>
            </w:pPr>
            <w:r>
              <w:rPr>
                <w:rFonts w:ascii="Times New Roman" w:hAnsi="Times New Roman" w:eastAsia="Noto Serif CJK SC"/>
                <w:sz w:val="18"/>
              </w:rPr>
              <w:t>G4 稳健性门</w:t>
            </w:r>
          </w:p>
        </w:tc>
        <w:tc>
          <w:tcPr>
            <w:tcW w:w="3685" w:type="dxa"/>
            <w:tcMar>
              <w:top w:w="90" w:type="dxa"/>
              <w:left w:w="100" w:type="dxa"/>
              <w:bottom w:w="90" w:type="dxa"/>
              <w:right w:w="100" w:type="dxa"/>
            </w:tcMar>
            <w:vAlign w:val="center"/>
          </w:tcPr>
          <w:p w14:paraId="4211AD2E">
            <w:pPr>
              <w:spacing w:after="0" w:line="276" w:lineRule="auto"/>
              <w:jc w:val="left"/>
            </w:pPr>
            <w:r>
              <w:rPr>
                <w:rFonts w:ascii="Times New Roman" w:hAnsi="Times New Roman" w:eastAsia="Noto Serif CJK SC"/>
                <w:sz w:val="18"/>
              </w:rPr>
              <w:t>E0/E1/最终候选3个seed、bootstrap/分层分析</w:t>
            </w:r>
          </w:p>
        </w:tc>
        <w:tc>
          <w:tcPr>
            <w:tcW w:w="3628" w:type="dxa"/>
            <w:tcMar>
              <w:top w:w="90" w:type="dxa"/>
              <w:left w:w="100" w:type="dxa"/>
              <w:bottom w:w="90" w:type="dxa"/>
              <w:right w:w="100" w:type="dxa"/>
            </w:tcMar>
            <w:vAlign w:val="center"/>
          </w:tcPr>
          <w:p w14:paraId="188F4C5F">
            <w:pPr>
              <w:spacing w:after="0" w:line="276" w:lineRule="auto"/>
              <w:jc w:val="left"/>
            </w:pPr>
            <w:r>
              <w:rPr>
                <w:rFonts w:ascii="Times New Roman" w:hAnsi="Times New Roman" w:eastAsia="Noto Serif CJK SC"/>
                <w:sz w:val="18"/>
              </w:rPr>
              <w:t>判断增益是否超过随机波动</w:t>
            </w:r>
          </w:p>
        </w:tc>
      </w:tr>
      <w:tr w14:paraId="5BAB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731B8FB9">
            <w:pPr>
              <w:spacing w:after="0" w:line="276" w:lineRule="auto"/>
              <w:jc w:val="center"/>
            </w:pPr>
            <w:r>
              <w:rPr>
                <w:rFonts w:ascii="Times New Roman" w:hAnsi="Times New Roman" w:eastAsia="Noto Serif CJK SC"/>
                <w:sz w:val="18"/>
              </w:rPr>
              <w:t>G5 资源配置门</w:t>
            </w:r>
          </w:p>
        </w:tc>
        <w:tc>
          <w:tcPr>
            <w:tcW w:w="3685" w:type="dxa"/>
            <w:tcMar>
              <w:top w:w="90" w:type="dxa"/>
              <w:left w:w="100" w:type="dxa"/>
              <w:bottom w:w="90" w:type="dxa"/>
              <w:right w:w="100" w:type="dxa"/>
            </w:tcMar>
            <w:vAlign w:val="center"/>
          </w:tcPr>
          <w:p w14:paraId="2E4854F1">
            <w:pPr>
              <w:spacing w:after="0" w:line="276" w:lineRule="auto"/>
              <w:jc w:val="left"/>
            </w:pPr>
            <w:r>
              <w:rPr>
                <w:rFonts w:ascii="Times New Roman" w:hAnsi="Times New Roman" w:eastAsia="Noto Serif CJK SC"/>
                <w:sz w:val="18"/>
              </w:rPr>
              <w:t>成本—性能Pareto、场景敏感性</w:t>
            </w:r>
          </w:p>
        </w:tc>
        <w:tc>
          <w:tcPr>
            <w:tcW w:w="3628" w:type="dxa"/>
            <w:tcMar>
              <w:top w:w="90" w:type="dxa"/>
              <w:left w:w="100" w:type="dxa"/>
              <w:bottom w:w="90" w:type="dxa"/>
              <w:right w:w="100" w:type="dxa"/>
            </w:tcMar>
            <w:vAlign w:val="center"/>
          </w:tcPr>
          <w:p w14:paraId="4B8BCFD6">
            <w:pPr>
              <w:spacing w:after="0" w:line="276" w:lineRule="auto"/>
              <w:jc w:val="left"/>
            </w:pPr>
            <w:r>
              <w:rPr>
                <w:rFonts w:ascii="Times New Roman" w:hAnsi="Times New Roman" w:eastAsia="Noto Serif CJK SC"/>
                <w:sz w:val="18"/>
              </w:rPr>
              <w:t>形成质量优先/成本优先/均衡三类推荐与停止规则</w:t>
            </w:r>
          </w:p>
        </w:tc>
      </w:tr>
    </w:tbl>
    <w:p w14:paraId="55D72AD4">
      <w:pPr>
        <w:widowControl/>
        <w:spacing w:after="20"/>
      </w:pPr>
    </w:p>
    <w:p w14:paraId="1496235B">
      <w:pPr>
        <w:pStyle w:val="4"/>
        <w:keepNext/>
        <w:widowControl/>
        <w:spacing w:before="140" w:after="60" w:line="276" w:lineRule="auto"/>
      </w:pPr>
      <w:r>
        <w:rPr>
          <w:rFonts w:ascii="Times New Roman" w:hAnsi="Times New Roman" w:eastAsia="Noto Sans CJK SC"/>
          <w:b/>
          <w:sz w:val="26"/>
        </w:rPr>
        <w:t>4.3 不对称双教师架构</w:t>
      </w:r>
    </w:p>
    <w:tbl>
      <w:tblPr>
        <w:tblStyle w:val="32"/>
        <w:tblW w:w="0" w:type="auto"/>
        <w:jc w:val="center"/>
        <w:tblLayout w:type="fixed"/>
        <w:tblCellMar>
          <w:top w:w="0" w:type="dxa"/>
          <w:left w:w="108" w:type="dxa"/>
          <w:bottom w:w="0" w:type="dxa"/>
          <w:right w:w="108" w:type="dxa"/>
        </w:tblCellMar>
      </w:tblPr>
      <w:tblGrid>
        <w:gridCol w:w="8957"/>
      </w:tblGrid>
      <w:tr w14:paraId="5B1EE40D">
        <w:tblPrEx>
          <w:tblCellMar>
            <w:top w:w="0" w:type="dxa"/>
            <w:left w:w="108" w:type="dxa"/>
            <w:bottom w:w="0" w:type="dxa"/>
            <w:right w:w="108" w:type="dxa"/>
          </w:tblCellMar>
        </w:tblPrEx>
        <w:trPr>
          <w:jc w:val="center"/>
        </w:trPr>
        <w:tc>
          <w:tcPr>
            <w:tcW w:w="9292" w:type="dxa"/>
            <w:shd w:val="clear" w:color="auto" w:fill="F3F7FA"/>
            <w:tcMar>
              <w:top w:w="150" w:type="dxa"/>
              <w:left w:w="180" w:type="dxa"/>
              <w:bottom w:w="150" w:type="dxa"/>
              <w:right w:w="180" w:type="dxa"/>
            </w:tcMar>
          </w:tcPr>
          <w:p w14:paraId="25B6A1F3">
            <w:pPr>
              <w:spacing w:after="60"/>
            </w:pPr>
            <w:r>
              <w:rPr>
                <w:rFonts w:ascii="Times New Roman" w:hAnsi="Times New Roman" w:eastAsia="Noto Sans CJK SC"/>
                <w:b/>
                <w:sz w:val="20"/>
              </w:rPr>
              <w:t>双教师的责任边界</w:t>
            </w:r>
          </w:p>
          <w:p w14:paraId="119CB9CC">
            <w:pPr>
              <w:spacing w:after="0" w:line="324" w:lineRule="auto"/>
            </w:pPr>
            <w:r>
              <w:rPr>
                <w:rFonts w:ascii="Times New Roman" w:hAnsi="Times New Roman" w:eastAsia="Noto Serif CJK SC"/>
                <w:sz w:val="20"/>
              </w:rPr>
              <w:t>主教师 Grounding DINO：负责“发现候选 + 默认定位框”。第二教师 SAM3：负责“条件性质量审核”，可以提出保留/疑似/否决、补充候选或结构建议，但不能默认覆盖主教师框。最终是否调用第二教师、是否修改标签，由阶段门和融合规则决定。下游YOLO只负责验证这些标签是否具有可训练效用。</w:t>
            </w:r>
          </w:p>
        </w:tc>
      </w:tr>
    </w:tbl>
    <w:p w14:paraId="1A1BE950">
      <w:pPr>
        <w:widowControl/>
        <w:spacing w:after="20"/>
      </w:pPr>
    </w:p>
    <w:p w14:paraId="4D235D87">
      <w:pPr>
        <w:widowControl/>
        <w:spacing w:before="80" w:after="80"/>
        <w:jc w:val="center"/>
      </w:pPr>
      <w:r>
        <w:rPr>
          <w:rFonts w:ascii="Times New Roman" w:hAnsi="Times New Roman" w:eastAsia="Noto Sans CJK SC"/>
          <w:b/>
          <w:sz w:val="18"/>
        </w:rPr>
        <w:t>表4-3  双教师技术链与管理链对应关系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18FA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AF7"/>
            <w:tcMar>
              <w:top w:w="110" w:type="dxa"/>
              <w:left w:w="100" w:type="dxa"/>
              <w:bottom w:w="110" w:type="dxa"/>
              <w:right w:w="100" w:type="dxa"/>
            </w:tcMar>
            <w:vAlign w:val="center"/>
          </w:tcPr>
          <w:p w14:paraId="684BB9BA">
            <w:pPr>
              <w:spacing w:after="0" w:line="240" w:lineRule="auto"/>
              <w:jc w:val="center"/>
            </w:pPr>
            <w:r>
              <w:rPr>
                <w:rFonts w:ascii="Times New Roman" w:hAnsi="Times New Roman" w:eastAsia="Noto Sans CJK SC"/>
                <w:b/>
                <w:sz w:val="18"/>
              </w:rPr>
              <w:t>层级</w:t>
            </w:r>
          </w:p>
        </w:tc>
        <w:tc>
          <w:tcPr>
            <w:tcW w:w="3628" w:type="dxa"/>
            <w:shd w:val="clear" w:color="auto" w:fill="D9EAF7"/>
            <w:tcMar>
              <w:top w:w="110" w:type="dxa"/>
              <w:left w:w="100" w:type="dxa"/>
              <w:bottom w:w="110" w:type="dxa"/>
              <w:right w:w="100" w:type="dxa"/>
            </w:tcMar>
            <w:vAlign w:val="center"/>
          </w:tcPr>
          <w:p w14:paraId="49A3C01C">
            <w:pPr>
              <w:spacing w:after="0" w:line="240" w:lineRule="auto"/>
              <w:jc w:val="center"/>
            </w:pPr>
            <w:r>
              <w:rPr>
                <w:rFonts w:ascii="Times New Roman" w:hAnsi="Times New Roman" w:eastAsia="Noto Sans CJK SC"/>
                <w:b/>
                <w:sz w:val="18"/>
              </w:rPr>
              <w:t>技术对象</w:t>
            </w:r>
          </w:p>
        </w:tc>
        <w:tc>
          <w:tcPr>
            <w:tcW w:w="3742" w:type="dxa"/>
            <w:shd w:val="clear" w:color="auto" w:fill="D9EAF7"/>
            <w:tcMar>
              <w:top w:w="110" w:type="dxa"/>
              <w:left w:w="100" w:type="dxa"/>
              <w:bottom w:w="110" w:type="dxa"/>
              <w:right w:w="100" w:type="dxa"/>
            </w:tcMar>
            <w:vAlign w:val="center"/>
          </w:tcPr>
          <w:p w14:paraId="5688BA16">
            <w:pPr>
              <w:spacing w:after="0" w:line="240" w:lineRule="auto"/>
              <w:jc w:val="center"/>
            </w:pPr>
            <w:r>
              <w:rPr>
                <w:rFonts w:ascii="Times New Roman" w:hAnsi="Times New Roman" w:eastAsia="Noto Sans CJK SC"/>
                <w:b/>
                <w:sz w:val="18"/>
              </w:rPr>
              <w:t>管理功能</w:t>
            </w:r>
          </w:p>
        </w:tc>
      </w:tr>
      <w:tr w14:paraId="207C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4A84B94A">
            <w:pPr>
              <w:spacing w:after="0" w:line="276" w:lineRule="auto"/>
              <w:jc w:val="center"/>
            </w:pPr>
            <w:r>
              <w:rPr>
                <w:rFonts w:ascii="Times New Roman" w:hAnsi="Times New Roman" w:eastAsia="Noto Serif CJK SC"/>
                <w:sz w:val="18"/>
              </w:rPr>
              <w:t>输入层</w:t>
            </w:r>
          </w:p>
        </w:tc>
        <w:tc>
          <w:tcPr>
            <w:tcW w:w="3628" w:type="dxa"/>
            <w:tcMar>
              <w:top w:w="90" w:type="dxa"/>
              <w:left w:w="100" w:type="dxa"/>
              <w:bottom w:w="90" w:type="dxa"/>
              <w:right w:w="100" w:type="dxa"/>
            </w:tcMar>
            <w:vAlign w:val="center"/>
          </w:tcPr>
          <w:p w14:paraId="10788F20">
            <w:pPr>
              <w:spacing w:after="0" w:line="276" w:lineRule="auto"/>
              <w:jc w:val="left"/>
            </w:pPr>
            <w:r>
              <w:rPr>
                <w:rFonts w:ascii="Times New Roman" w:hAnsi="Times New Roman" w:eastAsia="Noto Serif CJK SC"/>
                <w:sz w:val="18"/>
              </w:rPr>
              <w:t>训练图像 + source_type/source_group_id</w:t>
            </w:r>
          </w:p>
        </w:tc>
        <w:tc>
          <w:tcPr>
            <w:tcW w:w="3742" w:type="dxa"/>
            <w:tcMar>
              <w:top w:w="90" w:type="dxa"/>
              <w:left w:w="100" w:type="dxa"/>
              <w:bottom w:w="90" w:type="dxa"/>
              <w:right w:w="100" w:type="dxa"/>
            </w:tcMar>
            <w:vAlign w:val="center"/>
          </w:tcPr>
          <w:p w14:paraId="6D3159B0">
            <w:pPr>
              <w:spacing w:after="0" w:line="276" w:lineRule="auto"/>
              <w:jc w:val="left"/>
            </w:pPr>
            <w:r>
              <w:rPr>
                <w:rFonts w:ascii="Times New Roman" w:hAnsi="Times New Roman" w:eastAsia="Noto Serif CJK SC"/>
                <w:sz w:val="18"/>
              </w:rPr>
              <w:t>控制数据来源与同源泄漏</w:t>
            </w:r>
          </w:p>
        </w:tc>
      </w:tr>
      <w:tr w14:paraId="2848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573C2AB0">
            <w:pPr>
              <w:spacing w:after="0" w:line="276" w:lineRule="auto"/>
              <w:jc w:val="center"/>
            </w:pPr>
            <w:r>
              <w:rPr>
                <w:rFonts w:ascii="Times New Roman" w:hAnsi="Times New Roman" w:eastAsia="Noto Serif CJK SC"/>
                <w:sz w:val="18"/>
              </w:rPr>
              <w:t>主教师层</w:t>
            </w:r>
          </w:p>
        </w:tc>
        <w:tc>
          <w:tcPr>
            <w:tcW w:w="3628" w:type="dxa"/>
            <w:tcMar>
              <w:top w:w="90" w:type="dxa"/>
              <w:left w:w="100" w:type="dxa"/>
              <w:bottom w:w="90" w:type="dxa"/>
              <w:right w:w="100" w:type="dxa"/>
            </w:tcMar>
            <w:vAlign w:val="center"/>
          </w:tcPr>
          <w:p w14:paraId="43064699">
            <w:pPr>
              <w:spacing w:after="0" w:line="276" w:lineRule="auto"/>
              <w:jc w:val="left"/>
            </w:pPr>
            <w:r>
              <w:rPr>
                <w:rFonts w:ascii="Times New Roman" w:hAnsi="Times New Roman" w:eastAsia="Noto Serif CJK SC"/>
                <w:sz w:val="18"/>
              </w:rPr>
              <w:t>Grounding DINO + 冻结Prompt/score</w:t>
            </w:r>
          </w:p>
        </w:tc>
        <w:tc>
          <w:tcPr>
            <w:tcW w:w="3742" w:type="dxa"/>
            <w:tcMar>
              <w:top w:w="90" w:type="dxa"/>
              <w:left w:w="100" w:type="dxa"/>
              <w:bottom w:w="90" w:type="dxa"/>
              <w:right w:w="100" w:type="dxa"/>
            </w:tcMar>
            <w:vAlign w:val="center"/>
          </w:tcPr>
          <w:p w14:paraId="15A935EA">
            <w:pPr>
              <w:spacing w:after="0" w:line="276" w:lineRule="auto"/>
              <w:jc w:val="left"/>
            </w:pPr>
            <w:r>
              <w:rPr>
                <w:rFonts w:ascii="Times New Roman" w:hAnsi="Times New Roman" w:eastAsia="Noto Serif CJK SC"/>
                <w:sz w:val="18"/>
              </w:rPr>
              <w:t>生成V1候选框</w:t>
            </w:r>
          </w:p>
        </w:tc>
      </w:tr>
      <w:tr w14:paraId="021F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189CC2A9">
            <w:pPr>
              <w:spacing w:after="0" w:line="276" w:lineRule="auto"/>
              <w:jc w:val="center"/>
            </w:pPr>
            <w:r>
              <w:rPr>
                <w:rFonts w:ascii="Times New Roman" w:hAnsi="Times New Roman" w:eastAsia="Noto Serif CJK SC"/>
                <w:sz w:val="18"/>
              </w:rPr>
              <w:t>质量诊断层</w:t>
            </w:r>
          </w:p>
        </w:tc>
        <w:tc>
          <w:tcPr>
            <w:tcW w:w="3628" w:type="dxa"/>
            <w:tcMar>
              <w:top w:w="90" w:type="dxa"/>
              <w:left w:w="100" w:type="dxa"/>
              <w:bottom w:w="90" w:type="dxa"/>
              <w:right w:w="100" w:type="dxa"/>
            </w:tcMar>
            <w:vAlign w:val="center"/>
          </w:tcPr>
          <w:p w14:paraId="77A7137E">
            <w:pPr>
              <w:spacing w:after="0" w:line="276" w:lineRule="auto"/>
              <w:jc w:val="left"/>
            </w:pPr>
            <w:r>
              <w:rPr>
                <w:rFonts w:ascii="Times New Roman" w:hAnsi="Times New Roman" w:eastAsia="Noto Serif CJK SC"/>
                <w:sz w:val="18"/>
              </w:rPr>
              <w:t>GT抽查 + 几何/覆盖/实例粒度诊断</w:t>
            </w:r>
          </w:p>
        </w:tc>
        <w:tc>
          <w:tcPr>
            <w:tcW w:w="3742" w:type="dxa"/>
            <w:tcMar>
              <w:top w:w="90" w:type="dxa"/>
              <w:left w:w="100" w:type="dxa"/>
              <w:bottom w:w="90" w:type="dxa"/>
              <w:right w:w="100" w:type="dxa"/>
            </w:tcMar>
            <w:vAlign w:val="center"/>
          </w:tcPr>
          <w:p w14:paraId="69F0E2E5">
            <w:pPr>
              <w:spacing w:after="0" w:line="276" w:lineRule="auto"/>
              <w:jc w:val="left"/>
            </w:pPr>
            <w:r>
              <w:rPr>
                <w:rFonts w:ascii="Times New Roman" w:hAnsi="Times New Roman" w:eastAsia="Noto Serif CJK SC"/>
                <w:sz w:val="18"/>
              </w:rPr>
              <w:t>识别主要错误类型</w:t>
            </w:r>
          </w:p>
        </w:tc>
      </w:tr>
      <w:tr w14:paraId="7424B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15071003">
            <w:pPr>
              <w:spacing w:after="0" w:line="276" w:lineRule="auto"/>
              <w:jc w:val="center"/>
            </w:pPr>
            <w:r>
              <w:rPr>
                <w:rFonts w:ascii="Times New Roman" w:hAnsi="Times New Roman" w:eastAsia="Noto Serif CJK SC"/>
                <w:sz w:val="18"/>
              </w:rPr>
              <w:t>第二教师层</w:t>
            </w:r>
          </w:p>
        </w:tc>
        <w:tc>
          <w:tcPr>
            <w:tcW w:w="3628" w:type="dxa"/>
            <w:tcMar>
              <w:top w:w="90" w:type="dxa"/>
              <w:left w:w="100" w:type="dxa"/>
              <w:bottom w:w="90" w:type="dxa"/>
              <w:right w:w="100" w:type="dxa"/>
            </w:tcMar>
            <w:vAlign w:val="center"/>
          </w:tcPr>
          <w:p w14:paraId="1FA8E214">
            <w:pPr>
              <w:spacing w:after="0" w:line="276" w:lineRule="auto"/>
              <w:jc w:val="left"/>
            </w:pPr>
            <w:r>
              <w:rPr>
                <w:rFonts w:ascii="Times New Roman" w:hAnsi="Times New Roman" w:eastAsia="Noto Serif CJK SC"/>
                <w:sz w:val="18"/>
              </w:rPr>
              <w:t>SAM3 Verifier / Recall / Refiner</w:t>
            </w:r>
          </w:p>
        </w:tc>
        <w:tc>
          <w:tcPr>
            <w:tcW w:w="3742" w:type="dxa"/>
            <w:tcMar>
              <w:top w:w="90" w:type="dxa"/>
              <w:left w:w="100" w:type="dxa"/>
              <w:bottom w:w="90" w:type="dxa"/>
              <w:right w:w="100" w:type="dxa"/>
            </w:tcMar>
            <w:vAlign w:val="center"/>
          </w:tcPr>
          <w:p w14:paraId="6BB91F7F">
            <w:pPr>
              <w:spacing w:after="0" w:line="276" w:lineRule="auto"/>
              <w:jc w:val="left"/>
            </w:pPr>
            <w:r>
              <w:rPr>
                <w:rFonts w:ascii="Times New Roman" w:hAnsi="Times New Roman" w:eastAsia="Noto Serif CJK SC"/>
                <w:sz w:val="18"/>
              </w:rPr>
              <w:t>按门槛提供额外证据</w:t>
            </w:r>
          </w:p>
        </w:tc>
      </w:tr>
      <w:tr w14:paraId="2D2B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3F41F510">
            <w:pPr>
              <w:spacing w:after="0" w:line="276" w:lineRule="auto"/>
              <w:jc w:val="center"/>
            </w:pPr>
            <w:r>
              <w:rPr>
                <w:rFonts w:ascii="Times New Roman" w:hAnsi="Times New Roman" w:eastAsia="Noto Serif CJK SC"/>
                <w:sz w:val="18"/>
              </w:rPr>
              <w:t>融合决策层</w:t>
            </w:r>
          </w:p>
        </w:tc>
        <w:tc>
          <w:tcPr>
            <w:tcW w:w="3628" w:type="dxa"/>
            <w:tcMar>
              <w:top w:w="90" w:type="dxa"/>
              <w:left w:w="100" w:type="dxa"/>
              <w:bottom w:w="90" w:type="dxa"/>
              <w:right w:w="100" w:type="dxa"/>
            </w:tcMar>
            <w:vAlign w:val="center"/>
          </w:tcPr>
          <w:p w14:paraId="211FA92A">
            <w:pPr>
              <w:spacing w:after="0" w:line="276" w:lineRule="auto"/>
              <w:jc w:val="left"/>
            </w:pPr>
            <w:r>
              <w:rPr>
                <w:rFonts w:ascii="Times New Roman" w:hAnsi="Times New Roman" w:eastAsia="Noto Serif CJK SC"/>
                <w:sz w:val="18"/>
              </w:rPr>
              <w:t>保留、否决、补充、回退</w:t>
            </w:r>
          </w:p>
        </w:tc>
        <w:tc>
          <w:tcPr>
            <w:tcW w:w="3742" w:type="dxa"/>
            <w:tcMar>
              <w:top w:w="90" w:type="dxa"/>
              <w:left w:w="100" w:type="dxa"/>
              <w:bottom w:w="90" w:type="dxa"/>
              <w:right w:w="100" w:type="dxa"/>
            </w:tcMar>
            <w:vAlign w:val="center"/>
          </w:tcPr>
          <w:p w14:paraId="636F0B95">
            <w:pPr>
              <w:spacing w:after="0" w:line="276" w:lineRule="auto"/>
              <w:jc w:val="left"/>
            </w:pPr>
            <w:r>
              <w:rPr>
                <w:rFonts w:ascii="Times New Roman" w:hAnsi="Times New Roman" w:eastAsia="Noto Serif CJK SC"/>
                <w:sz w:val="18"/>
              </w:rPr>
              <w:t>形成V2候选版本</w:t>
            </w:r>
          </w:p>
        </w:tc>
      </w:tr>
      <w:tr w14:paraId="4176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7DF0293A">
            <w:pPr>
              <w:spacing w:after="0" w:line="276" w:lineRule="auto"/>
              <w:jc w:val="center"/>
            </w:pPr>
            <w:r>
              <w:rPr>
                <w:rFonts w:ascii="Times New Roman" w:hAnsi="Times New Roman" w:eastAsia="Noto Serif CJK SC"/>
                <w:sz w:val="18"/>
              </w:rPr>
              <w:t>效用验证层</w:t>
            </w:r>
          </w:p>
        </w:tc>
        <w:tc>
          <w:tcPr>
            <w:tcW w:w="3628" w:type="dxa"/>
            <w:tcMar>
              <w:top w:w="90" w:type="dxa"/>
              <w:left w:w="100" w:type="dxa"/>
              <w:bottom w:w="90" w:type="dxa"/>
              <w:right w:w="100" w:type="dxa"/>
            </w:tcMar>
            <w:vAlign w:val="center"/>
          </w:tcPr>
          <w:p w14:paraId="338544C0">
            <w:pPr>
              <w:spacing w:after="0" w:line="276" w:lineRule="auto"/>
              <w:jc w:val="left"/>
            </w:pPr>
            <w:r>
              <w:rPr>
                <w:rFonts w:ascii="Times New Roman" w:hAnsi="Times New Roman" w:eastAsia="Noto Serif CJK SC"/>
                <w:sz w:val="18"/>
              </w:rPr>
              <w:t>统一YOLO训练 + 冻结测试</w:t>
            </w:r>
          </w:p>
        </w:tc>
        <w:tc>
          <w:tcPr>
            <w:tcW w:w="3742" w:type="dxa"/>
            <w:tcMar>
              <w:top w:w="90" w:type="dxa"/>
              <w:left w:w="100" w:type="dxa"/>
              <w:bottom w:w="90" w:type="dxa"/>
              <w:right w:w="100" w:type="dxa"/>
            </w:tcMar>
            <w:vAlign w:val="center"/>
          </w:tcPr>
          <w:p w14:paraId="06CB43AB">
            <w:pPr>
              <w:spacing w:after="0" w:line="276" w:lineRule="auto"/>
              <w:jc w:val="left"/>
            </w:pPr>
            <w:r>
              <w:rPr>
                <w:rFonts w:ascii="Times New Roman" w:hAnsi="Times New Roman" w:eastAsia="Noto Serif CJK SC"/>
                <w:sz w:val="18"/>
              </w:rPr>
              <w:t>判断标签变化是否转化为下游收益</w:t>
            </w:r>
          </w:p>
        </w:tc>
      </w:tr>
      <w:tr w14:paraId="2585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90" w:type="dxa"/>
              <w:left w:w="100" w:type="dxa"/>
              <w:bottom w:w="90" w:type="dxa"/>
              <w:right w:w="100" w:type="dxa"/>
            </w:tcMar>
            <w:vAlign w:val="center"/>
          </w:tcPr>
          <w:p w14:paraId="23B1D109">
            <w:pPr>
              <w:spacing w:after="0" w:line="276" w:lineRule="auto"/>
              <w:jc w:val="center"/>
            </w:pPr>
            <w:r>
              <w:rPr>
                <w:rFonts w:ascii="Times New Roman" w:hAnsi="Times New Roman" w:eastAsia="Noto Serif CJK SC"/>
                <w:sz w:val="18"/>
              </w:rPr>
              <w:t>管理决策层</w:t>
            </w:r>
          </w:p>
        </w:tc>
        <w:tc>
          <w:tcPr>
            <w:tcW w:w="3628" w:type="dxa"/>
            <w:tcMar>
              <w:top w:w="90" w:type="dxa"/>
              <w:left w:w="100" w:type="dxa"/>
              <w:bottom w:w="90" w:type="dxa"/>
              <w:right w:w="100" w:type="dxa"/>
            </w:tcMar>
            <w:vAlign w:val="center"/>
          </w:tcPr>
          <w:p w14:paraId="2FE3F5C7">
            <w:pPr>
              <w:spacing w:after="0" w:line="276" w:lineRule="auto"/>
              <w:jc w:val="left"/>
            </w:pPr>
            <w:r>
              <w:rPr>
                <w:rFonts w:ascii="Times New Roman" w:hAnsi="Times New Roman" w:eastAsia="Noto Serif CJK SC"/>
                <w:sz w:val="18"/>
              </w:rPr>
              <w:t>COQ + Pareto + Stage-Gate</w:t>
            </w:r>
          </w:p>
        </w:tc>
        <w:tc>
          <w:tcPr>
            <w:tcW w:w="3742" w:type="dxa"/>
            <w:tcMar>
              <w:top w:w="90" w:type="dxa"/>
              <w:left w:w="100" w:type="dxa"/>
              <w:bottom w:w="90" w:type="dxa"/>
              <w:right w:w="100" w:type="dxa"/>
            </w:tcMar>
            <w:vAlign w:val="center"/>
          </w:tcPr>
          <w:p w14:paraId="1211417F">
            <w:pPr>
              <w:spacing w:after="0" w:line="276" w:lineRule="auto"/>
              <w:jc w:val="left"/>
            </w:pPr>
            <w:r>
              <w:rPr>
                <w:rFonts w:ascii="Times New Roman" w:hAnsi="Times New Roman" w:eastAsia="Noto Serif CJK SC"/>
                <w:sz w:val="18"/>
              </w:rPr>
              <w:t>决定全量升级或停止</w:t>
            </w:r>
          </w:p>
        </w:tc>
      </w:tr>
    </w:tbl>
    <w:p w14:paraId="728073E2">
      <w:pPr>
        <w:widowControl/>
        <w:spacing w:after="20"/>
      </w:pPr>
    </w:p>
    <w:p w14:paraId="776CB5B2">
      <w:pPr>
        <w:pStyle w:val="4"/>
        <w:keepNext/>
        <w:widowControl/>
        <w:spacing w:before="140" w:after="60" w:line="276" w:lineRule="auto"/>
      </w:pPr>
      <w:r>
        <w:rPr>
          <w:rFonts w:ascii="Times New Roman" w:hAnsi="Times New Roman" w:eastAsia="Noto Sans CJK SC"/>
          <w:b/>
          <w:sz w:val="26"/>
        </w:rPr>
        <w:t>4.4 结果中性与论文成立机制</w:t>
      </w:r>
    </w:p>
    <w:p w14:paraId="0F71BC32">
      <w:pPr>
        <w:widowControl/>
        <w:spacing w:before="80" w:after="80"/>
        <w:jc w:val="center"/>
      </w:pPr>
      <w:r>
        <w:rPr>
          <w:rFonts w:ascii="Times New Roman" w:hAnsi="Times New Roman" w:eastAsia="Noto Sans CJK SC"/>
          <w:b/>
          <w:sz w:val="18"/>
        </w:rPr>
        <w:t>表4-4  不同SAM3结果对应的技术解释与管理结论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2188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9EAF7"/>
            <w:tcMar>
              <w:top w:w="110" w:type="dxa"/>
              <w:left w:w="100" w:type="dxa"/>
              <w:bottom w:w="110" w:type="dxa"/>
              <w:right w:w="100" w:type="dxa"/>
            </w:tcMar>
            <w:vAlign w:val="center"/>
          </w:tcPr>
          <w:p w14:paraId="614B01D1">
            <w:pPr>
              <w:spacing w:after="0" w:line="240" w:lineRule="auto"/>
              <w:jc w:val="center"/>
            </w:pPr>
            <w:r>
              <w:rPr>
                <w:rFonts w:ascii="Times New Roman" w:hAnsi="Times New Roman" w:eastAsia="Noto Sans CJK SC"/>
                <w:b/>
                <w:sz w:val="17"/>
              </w:rPr>
              <w:t>可能结果</w:t>
            </w:r>
          </w:p>
        </w:tc>
        <w:tc>
          <w:tcPr>
            <w:tcW w:w="3005" w:type="dxa"/>
            <w:shd w:val="clear" w:color="auto" w:fill="D9EAF7"/>
            <w:tcMar>
              <w:top w:w="110" w:type="dxa"/>
              <w:left w:w="100" w:type="dxa"/>
              <w:bottom w:w="110" w:type="dxa"/>
              <w:right w:w="100" w:type="dxa"/>
            </w:tcMar>
            <w:vAlign w:val="center"/>
          </w:tcPr>
          <w:p w14:paraId="6C8E1271">
            <w:pPr>
              <w:spacing w:after="0" w:line="240" w:lineRule="auto"/>
              <w:jc w:val="center"/>
            </w:pPr>
            <w:r>
              <w:rPr>
                <w:rFonts w:ascii="Times New Roman" w:hAnsi="Times New Roman" w:eastAsia="Noto Sans CJK SC"/>
                <w:b/>
                <w:sz w:val="17"/>
              </w:rPr>
              <w:t>技术解释</w:t>
            </w:r>
          </w:p>
        </w:tc>
        <w:tc>
          <w:tcPr>
            <w:tcW w:w="3118" w:type="dxa"/>
            <w:shd w:val="clear" w:color="auto" w:fill="D9EAF7"/>
            <w:tcMar>
              <w:top w:w="110" w:type="dxa"/>
              <w:left w:w="100" w:type="dxa"/>
              <w:bottom w:w="110" w:type="dxa"/>
              <w:right w:w="100" w:type="dxa"/>
            </w:tcMar>
            <w:vAlign w:val="center"/>
          </w:tcPr>
          <w:p w14:paraId="17397E8B">
            <w:pPr>
              <w:spacing w:after="0" w:line="240" w:lineRule="auto"/>
              <w:jc w:val="center"/>
            </w:pPr>
            <w:r>
              <w:rPr>
                <w:rFonts w:ascii="Times New Roman" w:hAnsi="Times New Roman" w:eastAsia="Noto Sans CJK SC"/>
                <w:b/>
                <w:sz w:val="17"/>
              </w:rPr>
              <w:t>可形成的MEM结论</w:t>
            </w:r>
          </w:p>
        </w:tc>
      </w:tr>
      <w:tr w14:paraId="3FDD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90" w:type="dxa"/>
              <w:left w:w="100" w:type="dxa"/>
              <w:bottom w:w="90" w:type="dxa"/>
              <w:right w:w="100" w:type="dxa"/>
            </w:tcMar>
            <w:vAlign w:val="center"/>
          </w:tcPr>
          <w:p w14:paraId="3AF4AB8B">
            <w:pPr>
              <w:spacing w:after="0" w:line="276" w:lineRule="auto"/>
              <w:jc w:val="left"/>
            </w:pPr>
            <w:r>
              <w:rPr>
                <w:rFonts w:ascii="Times New Roman" w:hAnsi="Times New Roman" w:eastAsia="Noto Serif CJK SC"/>
                <w:sz w:val="17"/>
              </w:rPr>
              <w:t>SAM3 Verifier稳定提升mAP/Recall且成本可控</w:t>
            </w:r>
          </w:p>
        </w:tc>
        <w:tc>
          <w:tcPr>
            <w:tcW w:w="3005" w:type="dxa"/>
            <w:tcMar>
              <w:top w:w="90" w:type="dxa"/>
              <w:left w:w="100" w:type="dxa"/>
              <w:bottom w:w="90" w:type="dxa"/>
              <w:right w:w="100" w:type="dxa"/>
            </w:tcMar>
            <w:vAlign w:val="center"/>
          </w:tcPr>
          <w:p w14:paraId="00063626">
            <w:pPr>
              <w:spacing w:after="0" w:line="276" w:lineRule="auto"/>
              <w:jc w:val="left"/>
            </w:pPr>
            <w:r>
              <w:rPr>
                <w:rFonts w:ascii="Times New Roman" w:hAnsi="Times New Roman" w:eastAsia="Noto Serif CJK SC"/>
                <w:sz w:val="17"/>
              </w:rPr>
              <w:t>语义审核减少有害伪监督</w:t>
            </w:r>
          </w:p>
        </w:tc>
        <w:tc>
          <w:tcPr>
            <w:tcW w:w="3118" w:type="dxa"/>
            <w:tcMar>
              <w:top w:w="90" w:type="dxa"/>
              <w:left w:w="100" w:type="dxa"/>
              <w:bottom w:w="90" w:type="dxa"/>
              <w:right w:w="100" w:type="dxa"/>
            </w:tcMar>
            <w:vAlign w:val="center"/>
          </w:tcPr>
          <w:p w14:paraId="07C2FBC1">
            <w:pPr>
              <w:spacing w:after="0" w:line="276" w:lineRule="auto"/>
              <w:jc w:val="left"/>
            </w:pPr>
            <w:r>
              <w:rPr>
                <w:rFonts w:ascii="Times New Roman" w:hAnsi="Times New Roman" w:eastAsia="Noto Serif CJK SC"/>
                <w:sz w:val="17"/>
              </w:rPr>
              <w:t>通过G3，形成双教师高质量配置</w:t>
            </w:r>
          </w:p>
        </w:tc>
      </w:tr>
      <w:tr w14:paraId="2F12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90" w:type="dxa"/>
              <w:left w:w="100" w:type="dxa"/>
              <w:bottom w:w="90" w:type="dxa"/>
              <w:right w:w="100" w:type="dxa"/>
            </w:tcMar>
            <w:vAlign w:val="center"/>
          </w:tcPr>
          <w:p w14:paraId="7F11F281">
            <w:pPr>
              <w:spacing w:after="0" w:line="276" w:lineRule="auto"/>
              <w:jc w:val="left"/>
            </w:pPr>
            <w:r>
              <w:rPr>
                <w:rFonts w:ascii="Times New Roman" w:hAnsi="Times New Roman" w:eastAsia="Noto Serif CJK SC"/>
                <w:sz w:val="17"/>
              </w:rPr>
              <w:t>SAM3仅改善Recall但损失Precision或定位</w:t>
            </w:r>
          </w:p>
        </w:tc>
        <w:tc>
          <w:tcPr>
            <w:tcW w:w="3005" w:type="dxa"/>
            <w:tcMar>
              <w:top w:w="90" w:type="dxa"/>
              <w:left w:w="100" w:type="dxa"/>
              <w:bottom w:w="90" w:type="dxa"/>
              <w:right w:w="100" w:type="dxa"/>
            </w:tcMar>
            <w:vAlign w:val="center"/>
          </w:tcPr>
          <w:p w14:paraId="62B503FD">
            <w:pPr>
              <w:spacing w:after="0" w:line="276" w:lineRule="auto"/>
              <w:jc w:val="left"/>
            </w:pPr>
            <w:r>
              <w:rPr>
                <w:rFonts w:ascii="Times New Roman" w:hAnsi="Times New Roman" w:eastAsia="Noto Serif CJK SC"/>
                <w:sz w:val="17"/>
              </w:rPr>
              <w:t>第二教师改变误差结构但存在权衡</w:t>
            </w:r>
          </w:p>
        </w:tc>
        <w:tc>
          <w:tcPr>
            <w:tcW w:w="3118" w:type="dxa"/>
            <w:tcMar>
              <w:top w:w="90" w:type="dxa"/>
              <w:left w:w="100" w:type="dxa"/>
              <w:bottom w:w="90" w:type="dxa"/>
              <w:right w:w="100" w:type="dxa"/>
            </w:tcMar>
            <w:vAlign w:val="center"/>
          </w:tcPr>
          <w:p w14:paraId="7262EC32">
            <w:pPr>
              <w:spacing w:after="0" w:line="276" w:lineRule="auto"/>
              <w:jc w:val="left"/>
            </w:pPr>
            <w:r>
              <w:rPr>
                <w:rFonts w:ascii="Times New Roman" w:hAnsi="Times New Roman" w:eastAsia="Noto Serif CJK SC"/>
                <w:sz w:val="17"/>
              </w:rPr>
              <w:t>作为情景型配置或进一步保守阈值门槛，不强制全量</w:t>
            </w:r>
          </w:p>
        </w:tc>
      </w:tr>
      <w:tr w14:paraId="3E9B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90" w:type="dxa"/>
              <w:left w:w="100" w:type="dxa"/>
              <w:bottom w:w="90" w:type="dxa"/>
              <w:right w:w="100" w:type="dxa"/>
            </w:tcMar>
            <w:vAlign w:val="center"/>
          </w:tcPr>
          <w:p w14:paraId="5790A65B">
            <w:pPr>
              <w:spacing w:after="0" w:line="276" w:lineRule="auto"/>
              <w:jc w:val="left"/>
            </w:pPr>
            <w:r>
              <w:rPr>
                <w:rFonts w:ascii="Times New Roman" w:hAnsi="Times New Roman" w:eastAsia="Noto Serif CJK SC"/>
                <w:sz w:val="17"/>
              </w:rPr>
              <w:t>SAM3补漏没有增益</w:t>
            </w:r>
          </w:p>
        </w:tc>
        <w:tc>
          <w:tcPr>
            <w:tcW w:w="3005" w:type="dxa"/>
            <w:tcMar>
              <w:top w:w="90" w:type="dxa"/>
              <w:left w:w="100" w:type="dxa"/>
              <w:bottom w:w="90" w:type="dxa"/>
              <w:right w:w="100" w:type="dxa"/>
            </w:tcMar>
            <w:vAlign w:val="center"/>
          </w:tcPr>
          <w:p w14:paraId="055940DE">
            <w:pPr>
              <w:spacing w:after="0" w:line="276" w:lineRule="auto"/>
              <w:jc w:val="left"/>
            </w:pPr>
            <w:r>
              <w:rPr>
                <w:rFonts w:ascii="Times New Roman" w:hAnsi="Times New Roman" w:eastAsia="Noto Serif CJK SC"/>
                <w:sz w:val="17"/>
              </w:rPr>
              <w:t>新增候选精度/粒度不足或噪声抵消Recall收益</w:t>
            </w:r>
          </w:p>
        </w:tc>
        <w:tc>
          <w:tcPr>
            <w:tcW w:w="3118" w:type="dxa"/>
            <w:tcMar>
              <w:top w:w="90" w:type="dxa"/>
              <w:left w:w="100" w:type="dxa"/>
              <w:bottom w:w="90" w:type="dxa"/>
              <w:right w:w="100" w:type="dxa"/>
            </w:tcMar>
            <w:vAlign w:val="center"/>
          </w:tcPr>
          <w:p w14:paraId="6521954D">
            <w:pPr>
              <w:spacing w:after="0" w:line="276" w:lineRule="auto"/>
              <w:jc w:val="left"/>
            </w:pPr>
            <w:r>
              <w:rPr>
                <w:rFonts w:ascii="Times New Roman" w:hAnsi="Times New Roman" w:eastAsia="Noto Serif CJK SC"/>
                <w:sz w:val="17"/>
              </w:rPr>
              <w:t>停止Append；形成“Recall Teacher不适用”边界</w:t>
            </w:r>
          </w:p>
        </w:tc>
      </w:tr>
      <w:tr w14:paraId="3FFD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90" w:type="dxa"/>
              <w:left w:w="100" w:type="dxa"/>
              <w:bottom w:w="90" w:type="dxa"/>
              <w:right w:w="100" w:type="dxa"/>
            </w:tcMar>
            <w:vAlign w:val="center"/>
          </w:tcPr>
          <w:p w14:paraId="5601A93C">
            <w:pPr>
              <w:spacing w:after="0" w:line="276" w:lineRule="auto"/>
              <w:jc w:val="left"/>
            </w:pPr>
            <w:r>
              <w:rPr>
                <w:rFonts w:ascii="Times New Roman" w:hAnsi="Times New Roman" w:eastAsia="Noto Serif CJK SC"/>
                <w:sz w:val="17"/>
              </w:rPr>
              <w:t>SAM3重定位显著下降</w:t>
            </w:r>
          </w:p>
        </w:tc>
        <w:tc>
          <w:tcPr>
            <w:tcW w:w="3005" w:type="dxa"/>
            <w:tcMar>
              <w:top w:w="90" w:type="dxa"/>
              <w:left w:w="100" w:type="dxa"/>
              <w:bottom w:w="90" w:type="dxa"/>
              <w:right w:w="100" w:type="dxa"/>
            </w:tcMar>
            <w:vAlign w:val="center"/>
          </w:tcPr>
          <w:p w14:paraId="3E5943ED">
            <w:pPr>
              <w:spacing w:after="0" w:line="276" w:lineRule="auto"/>
              <w:jc w:val="left"/>
            </w:pPr>
            <w:r>
              <w:rPr>
                <w:rFonts w:ascii="Times New Roman" w:hAnsi="Times New Roman" w:eastAsia="Noto Serif CJK SC"/>
                <w:sz w:val="17"/>
              </w:rPr>
              <w:t>mask框与检测框标注规范不一致</w:t>
            </w:r>
          </w:p>
        </w:tc>
        <w:tc>
          <w:tcPr>
            <w:tcW w:w="3118" w:type="dxa"/>
            <w:tcMar>
              <w:top w:w="90" w:type="dxa"/>
              <w:left w:w="100" w:type="dxa"/>
              <w:bottom w:w="90" w:type="dxa"/>
              <w:right w:w="100" w:type="dxa"/>
            </w:tcMar>
            <w:vAlign w:val="center"/>
          </w:tcPr>
          <w:p w14:paraId="376BA01C">
            <w:pPr>
              <w:spacing w:after="0" w:line="276" w:lineRule="auto"/>
              <w:jc w:val="left"/>
            </w:pPr>
            <w:r>
              <w:rPr>
                <w:rFonts w:ascii="Times New Roman" w:hAnsi="Times New Roman" w:eastAsia="Noto Serif CJK SC"/>
                <w:sz w:val="17"/>
              </w:rPr>
              <w:t>冻结DINO定位权；不再扩大box refinement</w:t>
            </w:r>
          </w:p>
        </w:tc>
      </w:tr>
      <w:tr w14:paraId="6DB0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90" w:type="dxa"/>
              <w:left w:w="100" w:type="dxa"/>
              <w:bottom w:w="90" w:type="dxa"/>
              <w:right w:w="100" w:type="dxa"/>
            </w:tcMar>
            <w:vAlign w:val="center"/>
          </w:tcPr>
          <w:p w14:paraId="1157E6FB">
            <w:pPr>
              <w:spacing w:after="0" w:line="276" w:lineRule="auto"/>
              <w:jc w:val="left"/>
            </w:pPr>
            <w:r>
              <w:rPr>
                <w:rFonts w:ascii="Times New Roman" w:hAnsi="Times New Roman" w:eastAsia="Noto Serif CJK SC"/>
                <w:sz w:val="17"/>
              </w:rPr>
              <w:t>所有SAM3候选均未过门槛</w:t>
            </w:r>
          </w:p>
        </w:tc>
        <w:tc>
          <w:tcPr>
            <w:tcW w:w="3005" w:type="dxa"/>
            <w:tcMar>
              <w:top w:w="90" w:type="dxa"/>
              <w:left w:w="100" w:type="dxa"/>
              <w:bottom w:w="90" w:type="dxa"/>
              <w:right w:w="100" w:type="dxa"/>
            </w:tcMar>
            <w:vAlign w:val="center"/>
          </w:tcPr>
          <w:p w14:paraId="7C5ACB35">
            <w:pPr>
              <w:spacing w:after="0" w:line="276" w:lineRule="auto"/>
              <w:jc w:val="left"/>
            </w:pPr>
            <w:r>
              <w:rPr>
                <w:rFonts w:ascii="Times New Roman" w:hAnsi="Times New Roman" w:eastAsia="Noto Serif CJK SC"/>
                <w:sz w:val="17"/>
              </w:rPr>
              <w:t>第二教师边际价值小于额外成本</w:t>
            </w:r>
          </w:p>
        </w:tc>
        <w:tc>
          <w:tcPr>
            <w:tcW w:w="3118" w:type="dxa"/>
            <w:tcMar>
              <w:top w:w="90" w:type="dxa"/>
              <w:left w:w="100" w:type="dxa"/>
              <w:bottom w:w="90" w:type="dxa"/>
              <w:right w:w="100" w:type="dxa"/>
            </w:tcMar>
            <w:vAlign w:val="center"/>
          </w:tcPr>
          <w:p w14:paraId="12C298C8">
            <w:pPr>
              <w:spacing w:after="0" w:line="276" w:lineRule="auto"/>
              <w:jc w:val="left"/>
            </w:pPr>
            <w:r>
              <w:rPr>
                <w:rFonts w:ascii="Times New Roman" w:hAnsi="Times New Roman" w:eastAsia="Noto Serif CJK SC"/>
                <w:sz w:val="17"/>
              </w:rPr>
              <w:t>Grounding DINO V1成为当前Pareto停止点</w:t>
            </w:r>
          </w:p>
        </w:tc>
      </w:tr>
      <w:tr w14:paraId="2B1F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90" w:type="dxa"/>
              <w:left w:w="100" w:type="dxa"/>
              <w:bottom w:w="90" w:type="dxa"/>
              <w:right w:w="100" w:type="dxa"/>
            </w:tcMar>
            <w:vAlign w:val="center"/>
          </w:tcPr>
          <w:p w14:paraId="2558EAE5">
            <w:pPr>
              <w:spacing w:after="0" w:line="276" w:lineRule="auto"/>
              <w:jc w:val="left"/>
            </w:pPr>
            <w:r>
              <w:rPr>
                <w:rFonts w:ascii="Times New Roman" w:hAnsi="Times New Roman" w:eastAsia="Noto Serif CJK SC"/>
                <w:sz w:val="17"/>
              </w:rPr>
              <w:t>候选在Validation好、Final Holdout无提升</w:t>
            </w:r>
          </w:p>
        </w:tc>
        <w:tc>
          <w:tcPr>
            <w:tcW w:w="3005" w:type="dxa"/>
            <w:tcMar>
              <w:top w:w="90" w:type="dxa"/>
              <w:left w:w="100" w:type="dxa"/>
              <w:bottom w:w="90" w:type="dxa"/>
              <w:right w:w="100" w:type="dxa"/>
            </w:tcMar>
            <w:vAlign w:val="center"/>
          </w:tcPr>
          <w:p w14:paraId="708F9CE3">
            <w:pPr>
              <w:spacing w:after="0" w:line="276" w:lineRule="auto"/>
              <w:jc w:val="left"/>
            </w:pPr>
            <w:r>
              <w:rPr>
                <w:rFonts w:ascii="Times New Roman" w:hAnsi="Times New Roman" w:eastAsia="Noto Serif CJK SC"/>
                <w:sz w:val="17"/>
              </w:rPr>
              <w:t>开发集过拟合或分布差异</w:t>
            </w:r>
          </w:p>
        </w:tc>
        <w:tc>
          <w:tcPr>
            <w:tcW w:w="3118" w:type="dxa"/>
            <w:tcMar>
              <w:top w:w="90" w:type="dxa"/>
              <w:left w:w="100" w:type="dxa"/>
              <w:bottom w:w="90" w:type="dxa"/>
              <w:right w:w="100" w:type="dxa"/>
            </w:tcMar>
            <w:vAlign w:val="center"/>
          </w:tcPr>
          <w:p w14:paraId="3D14BC63">
            <w:pPr>
              <w:spacing w:after="0" w:line="276" w:lineRule="auto"/>
              <w:jc w:val="left"/>
            </w:pPr>
            <w:r>
              <w:rPr>
                <w:rFonts w:ascii="Times New Roman" w:hAnsi="Times New Roman" w:eastAsia="Noto Serif CJK SC"/>
                <w:sz w:val="17"/>
              </w:rPr>
              <w:t>回退并记录内部失败成本，形成测试治理结论</w:t>
            </w:r>
          </w:p>
        </w:tc>
      </w:tr>
    </w:tbl>
    <w:p w14:paraId="791FC656">
      <w:pPr>
        <w:widowControl/>
        <w:spacing w:after="20"/>
      </w:pPr>
    </w:p>
    <w:p w14:paraId="7BF3C6F3">
      <w:pPr>
        <w:pStyle w:val="3"/>
        <w:keepNext/>
        <w:widowControl/>
        <w:spacing w:before="200" w:after="100" w:line="276" w:lineRule="auto"/>
      </w:pPr>
      <w:r>
        <w:rPr>
          <w:rFonts w:ascii="Times New Roman" w:hAnsi="Times New Roman" w:eastAsia="Noto Sans CJK SC"/>
          <w:b/>
          <w:sz w:val="32"/>
        </w:rPr>
        <w:t>五、研究设计、数据方案与实验方法</w:t>
      </w:r>
    </w:p>
    <w:p w14:paraId="40C18285">
      <w:pPr>
        <w:pStyle w:val="4"/>
        <w:keepNext/>
        <w:widowControl/>
        <w:spacing w:before="140" w:after="60" w:line="276" w:lineRule="auto"/>
      </w:pPr>
      <w:r>
        <w:rPr>
          <w:rFonts w:ascii="Times New Roman" w:hAnsi="Times New Roman" w:eastAsia="Noto Sans CJK SC"/>
          <w:b/>
          <w:sz w:val="26"/>
        </w:rPr>
        <w:t>5.1 数据版本与功能划分</w:t>
      </w:r>
    </w:p>
    <w:p w14:paraId="28E2D223">
      <w:pPr>
        <w:widowControl/>
        <w:spacing w:before="0" w:after="100" w:line="360" w:lineRule="auto"/>
        <w:ind w:firstLine="420"/>
        <w:jc w:val="both"/>
      </w:pPr>
      <w:r>
        <w:rPr>
          <w:rFonts w:ascii="Times New Roman" w:hAnsi="Times New Roman" w:eastAsia="Noto Serif CJK SC"/>
          <w:sz w:val="22"/>
        </w:rPr>
        <w:t>正式研究首先完成数据治理。图像按来源、真实/AIGC属性、场景、尺度和可能的同源关系建立source_type与source_group_id；同一视频连续帧、同一AIGC提示批次、近重复图像不得跨Development/Validation/Final Holdout。训练/开发主池当前规模为2804张。</w:t>
      </w:r>
    </w:p>
    <w:p w14:paraId="169DCF8F">
      <w:pPr>
        <w:widowControl/>
        <w:spacing w:before="0" w:after="100" w:line="360" w:lineRule="auto"/>
        <w:ind w:firstLine="420"/>
        <w:jc w:val="both"/>
      </w:pPr>
      <w:r>
        <w:rPr>
          <w:rFonts w:ascii="Times New Roman" w:hAnsi="Times New Roman" w:eastAsia="Noto Serif CJK SC"/>
          <w:sz w:val="22"/>
        </w:rPr>
        <w:t>鉴于当前274张评测集已经参与多轮Pilot对比，后续不得继续根据其结果调整SAM阈值。正式论文应优先从未触碰的人工GT样本建立Final Holdout；若无法新增，需将当前集合在开题后立即冻结，所有参数仅在Development/Validation确定，并将“前期已查看测试集”作为方法局限披露。</w:t>
      </w:r>
    </w:p>
    <w:p w14:paraId="622D74BF">
      <w:pPr>
        <w:pStyle w:val="4"/>
        <w:keepNext/>
        <w:widowControl/>
        <w:spacing w:before="140" w:after="60" w:line="276" w:lineRule="auto"/>
      </w:pPr>
      <w:r>
        <w:rPr>
          <w:rFonts w:ascii="Times New Roman" w:hAnsi="Times New Roman" w:eastAsia="Noto Sans CJK SC"/>
          <w:b/>
          <w:sz w:val="26"/>
        </w:rPr>
        <w:t>5.2 Prompt低预算序贯冻结</w:t>
      </w:r>
    </w:p>
    <w:p w14:paraId="5E647891">
      <w:pPr>
        <w:widowControl/>
        <w:spacing w:before="0" w:after="100" w:line="360" w:lineRule="auto"/>
        <w:ind w:firstLine="420"/>
        <w:jc w:val="both"/>
      </w:pPr>
      <w:r>
        <w:rPr>
          <w:rFonts w:ascii="Times New Roman" w:hAnsi="Times New Roman" w:eastAsia="Noto Serif CJK SC"/>
          <w:sz w:val="22"/>
        </w:rPr>
        <w:t>Prompt优化不采用大规模穷举。先依据fire/smoke语义设计约16个候选短语，在按类别、尺度、来源分层抽取的小型Reference集上粗筛；每类保留Top-2后扩大样本复筛，同时扫描score threshold的稳定区间。最终Prompt与阈值形成prompt_id并冻结。冻结后任何变更必须升版本并重新进入G0。</w:t>
      </w:r>
    </w:p>
    <w:p w14:paraId="608F8BBF">
      <w:pPr>
        <w:widowControl/>
        <w:spacing w:before="80" w:after="80"/>
        <w:jc w:val="center"/>
      </w:pPr>
      <w:r>
        <w:rPr>
          <w:rFonts w:ascii="Times New Roman" w:hAnsi="Times New Roman" w:eastAsia="Noto Sans CJK SC"/>
          <w:b/>
          <w:sz w:val="18"/>
        </w:rPr>
        <w:t>表5-1  Prompt序贯冻结流程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5788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tcMar>
              <w:top w:w="110" w:type="dxa"/>
              <w:left w:w="100" w:type="dxa"/>
              <w:bottom w:w="110" w:type="dxa"/>
              <w:right w:w="100" w:type="dxa"/>
            </w:tcMar>
            <w:vAlign w:val="center"/>
          </w:tcPr>
          <w:p w14:paraId="20FD0E4A">
            <w:pPr>
              <w:spacing w:after="0" w:line="240" w:lineRule="auto"/>
              <w:jc w:val="center"/>
            </w:pPr>
            <w:r>
              <w:rPr>
                <w:rFonts w:ascii="Times New Roman" w:hAnsi="Times New Roman" w:eastAsia="Noto Sans CJK SC"/>
                <w:b/>
                <w:sz w:val="18"/>
              </w:rPr>
              <w:t>步骤</w:t>
            </w:r>
          </w:p>
        </w:tc>
        <w:tc>
          <w:tcPr>
            <w:tcW w:w="3969" w:type="dxa"/>
            <w:shd w:val="clear" w:color="auto" w:fill="D9EAF7"/>
            <w:tcMar>
              <w:top w:w="110" w:type="dxa"/>
              <w:left w:w="100" w:type="dxa"/>
              <w:bottom w:w="110" w:type="dxa"/>
              <w:right w:w="100" w:type="dxa"/>
            </w:tcMar>
            <w:vAlign w:val="center"/>
          </w:tcPr>
          <w:p w14:paraId="6A32944A">
            <w:pPr>
              <w:spacing w:after="0" w:line="240" w:lineRule="auto"/>
              <w:jc w:val="center"/>
            </w:pPr>
            <w:r>
              <w:rPr>
                <w:rFonts w:ascii="Times New Roman" w:hAnsi="Times New Roman" w:eastAsia="Noto Sans CJK SC"/>
                <w:b/>
                <w:sz w:val="18"/>
              </w:rPr>
              <w:t>方法</w:t>
            </w:r>
          </w:p>
        </w:tc>
        <w:tc>
          <w:tcPr>
            <w:tcW w:w="3345" w:type="dxa"/>
            <w:shd w:val="clear" w:color="auto" w:fill="D9EAF7"/>
            <w:tcMar>
              <w:top w:w="110" w:type="dxa"/>
              <w:left w:w="100" w:type="dxa"/>
              <w:bottom w:w="110" w:type="dxa"/>
              <w:right w:w="100" w:type="dxa"/>
            </w:tcMar>
            <w:vAlign w:val="center"/>
          </w:tcPr>
          <w:p w14:paraId="1A69BBC6">
            <w:pPr>
              <w:spacing w:after="0" w:line="240" w:lineRule="auto"/>
              <w:jc w:val="center"/>
            </w:pPr>
            <w:r>
              <w:rPr>
                <w:rFonts w:ascii="Times New Roman" w:hAnsi="Times New Roman" w:eastAsia="Noto Sans CJK SC"/>
                <w:b/>
                <w:sz w:val="18"/>
              </w:rPr>
              <w:t>输出</w:t>
            </w:r>
          </w:p>
        </w:tc>
      </w:tr>
      <w:tr w14:paraId="1CA9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3C951CDB">
            <w:pPr>
              <w:spacing w:after="0" w:line="276" w:lineRule="auto"/>
              <w:jc w:val="center"/>
            </w:pPr>
            <w:r>
              <w:rPr>
                <w:rFonts w:ascii="Times New Roman" w:hAnsi="Times New Roman" w:eastAsia="Noto Serif CJK SC"/>
                <w:sz w:val="18"/>
              </w:rPr>
              <w:t>P0 候选定义</w:t>
            </w:r>
          </w:p>
        </w:tc>
        <w:tc>
          <w:tcPr>
            <w:tcW w:w="3969" w:type="dxa"/>
            <w:tcMar>
              <w:top w:w="90" w:type="dxa"/>
              <w:left w:w="100" w:type="dxa"/>
              <w:bottom w:w="90" w:type="dxa"/>
              <w:right w:w="100" w:type="dxa"/>
            </w:tcMar>
            <w:vAlign w:val="center"/>
          </w:tcPr>
          <w:p w14:paraId="2F173756">
            <w:pPr>
              <w:spacing w:after="0" w:line="276" w:lineRule="auto"/>
              <w:jc w:val="left"/>
            </w:pPr>
            <w:r>
              <w:rPr>
                <w:rFonts w:ascii="Times New Roman" w:hAnsi="Times New Roman" w:eastAsia="Noto Serif CJK SC"/>
                <w:sz w:val="18"/>
              </w:rPr>
              <w:t>fire/smoke同义词、短语及组合</w:t>
            </w:r>
          </w:p>
        </w:tc>
        <w:tc>
          <w:tcPr>
            <w:tcW w:w="3345" w:type="dxa"/>
            <w:tcMar>
              <w:top w:w="90" w:type="dxa"/>
              <w:left w:w="100" w:type="dxa"/>
              <w:bottom w:w="90" w:type="dxa"/>
              <w:right w:w="100" w:type="dxa"/>
            </w:tcMar>
            <w:vAlign w:val="center"/>
          </w:tcPr>
          <w:p w14:paraId="19A6F0A7">
            <w:pPr>
              <w:spacing w:after="0" w:line="276" w:lineRule="auto"/>
              <w:jc w:val="left"/>
            </w:pPr>
            <w:r>
              <w:rPr>
                <w:rFonts w:ascii="Times New Roman" w:hAnsi="Times New Roman" w:eastAsia="Noto Serif CJK SC"/>
                <w:sz w:val="18"/>
              </w:rPr>
              <w:t>候选清单 + prompt_id</w:t>
            </w:r>
          </w:p>
        </w:tc>
      </w:tr>
      <w:tr w14:paraId="18D6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4C5D0FE3">
            <w:pPr>
              <w:spacing w:after="0" w:line="276" w:lineRule="auto"/>
              <w:jc w:val="center"/>
            </w:pPr>
            <w:r>
              <w:rPr>
                <w:rFonts w:ascii="Times New Roman" w:hAnsi="Times New Roman" w:eastAsia="Noto Serif CJK SC"/>
                <w:sz w:val="18"/>
              </w:rPr>
              <w:t>P1 分层粗筛</w:t>
            </w:r>
          </w:p>
        </w:tc>
        <w:tc>
          <w:tcPr>
            <w:tcW w:w="3969" w:type="dxa"/>
            <w:tcMar>
              <w:top w:w="90" w:type="dxa"/>
              <w:left w:w="100" w:type="dxa"/>
              <w:bottom w:w="90" w:type="dxa"/>
              <w:right w:w="100" w:type="dxa"/>
            </w:tcMar>
            <w:vAlign w:val="center"/>
          </w:tcPr>
          <w:p w14:paraId="5E068082">
            <w:pPr>
              <w:spacing w:after="0" w:line="276" w:lineRule="auto"/>
              <w:jc w:val="left"/>
            </w:pPr>
            <w:r>
              <w:rPr>
                <w:rFonts w:ascii="Times New Roman" w:hAnsi="Times New Roman" w:eastAsia="Noto Serif CJK SC"/>
                <w:sz w:val="18"/>
              </w:rPr>
              <w:t>小Reference；快速比较AP/F1/错误类型</w:t>
            </w:r>
          </w:p>
        </w:tc>
        <w:tc>
          <w:tcPr>
            <w:tcW w:w="3345" w:type="dxa"/>
            <w:tcMar>
              <w:top w:w="90" w:type="dxa"/>
              <w:left w:w="100" w:type="dxa"/>
              <w:bottom w:w="90" w:type="dxa"/>
              <w:right w:w="100" w:type="dxa"/>
            </w:tcMar>
            <w:vAlign w:val="center"/>
          </w:tcPr>
          <w:p w14:paraId="7FF39E6D">
            <w:pPr>
              <w:spacing w:after="0" w:line="276" w:lineRule="auto"/>
              <w:jc w:val="left"/>
            </w:pPr>
            <w:r>
              <w:rPr>
                <w:rFonts w:ascii="Times New Roman" w:hAnsi="Times New Roman" w:eastAsia="Noto Serif CJK SC"/>
                <w:sz w:val="18"/>
              </w:rPr>
              <w:t>每类Top-2</w:t>
            </w:r>
          </w:p>
        </w:tc>
      </w:tr>
      <w:tr w14:paraId="655E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5D71A76C">
            <w:pPr>
              <w:spacing w:after="0" w:line="276" w:lineRule="auto"/>
              <w:jc w:val="center"/>
            </w:pPr>
            <w:r>
              <w:rPr>
                <w:rFonts w:ascii="Times New Roman" w:hAnsi="Times New Roman" w:eastAsia="Noto Serif CJK SC"/>
                <w:sz w:val="18"/>
              </w:rPr>
              <w:t>P2 复筛</w:t>
            </w:r>
          </w:p>
        </w:tc>
        <w:tc>
          <w:tcPr>
            <w:tcW w:w="3969" w:type="dxa"/>
            <w:tcMar>
              <w:top w:w="90" w:type="dxa"/>
              <w:left w:w="100" w:type="dxa"/>
              <w:bottom w:w="90" w:type="dxa"/>
              <w:right w:w="100" w:type="dxa"/>
            </w:tcMar>
            <w:vAlign w:val="center"/>
          </w:tcPr>
          <w:p w14:paraId="32045F7D">
            <w:pPr>
              <w:spacing w:after="0" w:line="276" w:lineRule="auto"/>
              <w:jc w:val="left"/>
            </w:pPr>
            <w:r>
              <w:rPr>
                <w:rFonts w:ascii="Times New Roman" w:hAnsi="Times New Roman" w:eastAsia="Noto Serif CJK SC"/>
                <w:sz w:val="18"/>
              </w:rPr>
              <w:t>更大Development子集；阈值扫描</w:t>
            </w:r>
          </w:p>
        </w:tc>
        <w:tc>
          <w:tcPr>
            <w:tcW w:w="3345" w:type="dxa"/>
            <w:tcMar>
              <w:top w:w="90" w:type="dxa"/>
              <w:left w:w="100" w:type="dxa"/>
              <w:bottom w:w="90" w:type="dxa"/>
              <w:right w:w="100" w:type="dxa"/>
            </w:tcMar>
            <w:vAlign w:val="center"/>
          </w:tcPr>
          <w:p w14:paraId="25125D76">
            <w:pPr>
              <w:spacing w:after="0" w:line="276" w:lineRule="auto"/>
              <w:jc w:val="left"/>
            </w:pPr>
            <w:r>
              <w:rPr>
                <w:rFonts w:ascii="Times New Roman" w:hAnsi="Times New Roman" w:eastAsia="Noto Serif CJK SC"/>
                <w:sz w:val="18"/>
              </w:rPr>
              <w:t>候选排序与稳定区间</w:t>
            </w:r>
          </w:p>
        </w:tc>
      </w:tr>
      <w:tr w14:paraId="1D72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100" w:type="dxa"/>
              <w:bottom w:w="90" w:type="dxa"/>
              <w:right w:w="100" w:type="dxa"/>
            </w:tcMar>
            <w:vAlign w:val="center"/>
          </w:tcPr>
          <w:p w14:paraId="77B1EAD0">
            <w:pPr>
              <w:spacing w:after="0" w:line="276" w:lineRule="auto"/>
              <w:jc w:val="center"/>
            </w:pPr>
            <w:r>
              <w:rPr>
                <w:rFonts w:ascii="Times New Roman" w:hAnsi="Times New Roman" w:eastAsia="Noto Serif CJK SC"/>
                <w:sz w:val="18"/>
              </w:rPr>
              <w:t>P3 冻结</w:t>
            </w:r>
          </w:p>
        </w:tc>
        <w:tc>
          <w:tcPr>
            <w:tcW w:w="3969" w:type="dxa"/>
            <w:tcMar>
              <w:top w:w="90" w:type="dxa"/>
              <w:left w:w="100" w:type="dxa"/>
              <w:bottom w:w="90" w:type="dxa"/>
              <w:right w:w="100" w:type="dxa"/>
            </w:tcMar>
            <w:vAlign w:val="center"/>
          </w:tcPr>
          <w:p w14:paraId="000A9D23">
            <w:pPr>
              <w:spacing w:after="0" w:line="276" w:lineRule="auto"/>
              <w:jc w:val="left"/>
            </w:pPr>
            <w:r>
              <w:rPr>
                <w:rFonts w:ascii="Times New Roman" w:hAnsi="Times New Roman" w:eastAsia="Noto Serif CJK SC"/>
                <w:sz w:val="18"/>
              </w:rPr>
              <w:t>综合质量与调用成本</w:t>
            </w:r>
          </w:p>
        </w:tc>
        <w:tc>
          <w:tcPr>
            <w:tcW w:w="3345" w:type="dxa"/>
            <w:tcMar>
              <w:top w:w="90" w:type="dxa"/>
              <w:left w:w="100" w:type="dxa"/>
              <w:bottom w:w="90" w:type="dxa"/>
              <w:right w:w="100" w:type="dxa"/>
            </w:tcMar>
            <w:vAlign w:val="center"/>
          </w:tcPr>
          <w:p w14:paraId="77AB2312">
            <w:pPr>
              <w:spacing w:after="0" w:line="276" w:lineRule="auto"/>
              <w:jc w:val="left"/>
            </w:pPr>
            <w:r>
              <w:rPr>
                <w:rFonts w:ascii="Times New Roman" w:hAnsi="Times New Roman" w:eastAsia="Noto Serif CJK SC"/>
                <w:sz w:val="18"/>
              </w:rPr>
              <w:t>Prompt V1 + score threshold + 版本记录</w:t>
            </w:r>
          </w:p>
        </w:tc>
      </w:tr>
    </w:tbl>
    <w:p w14:paraId="6A6F86E8">
      <w:pPr>
        <w:widowControl/>
        <w:spacing w:after="20"/>
      </w:pPr>
    </w:p>
    <w:p w14:paraId="7127308B">
      <w:pPr>
        <w:pStyle w:val="4"/>
        <w:keepNext/>
        <w:widowControl/>
        <w:spacing w:before="140" w:after="60" w:line="276" w:lineRule="auto"/>
      </w:pPr>
      <w:r>
        <w:rPr>
          <w:rFonts w:ascii="Times New Roman" w:hAnsi="Times New Roman" w:eastAsia="Noto Sans CJK SC"/>
          <w:b/>
          <w:sz w:val="26"/>
        </w:rPr>
        <w:t>5.3 主教师V1与标签质量诊断</w:t>
      </w:r>
    </w:p>
    <w:p w14:paraId="738C93E0">
      <w:pPr>
        <w:widowControl/>
        <w:spacing w:before="0" w:after="100" w:line="360" w:lineRule="auto"/>
        <w:ind w:firstLine="420"/>
        <w:jc w:val="both"/>
      </w:pPr>
      <w:r>
        <w:rPr>
          <w:rFonts w:ascii="Times New Roman" w:hAnsi="Times New Roman" w:eastAsia="Noto Serif CJK SC"/>
          <w:sz w:val="22"/>
        </w:rPr>
        <w:t>使用冻结Prompt生成Grounding DINO V1。对fire和smoke分别统计missing、false positive、over-box/under-box、small object、many-to-one、one-to-many以及保守覆盖率等指标。YOLO回检只作为低成本诊断信号，用于判断错误是否被某类分歧特征富集，不直接生成新标签。</w:t>
      </w:r>
    </w:p>
    <w:p w14:paraId="4DF3D1C5">
      <w:pPr>
        <w:widowControl/>
        <w:spacing w:before="0" w:after="100" w:line="360" w:lineRule="auto"/>
        <w:ind w:firstLine="420"/>
        <w:jc w:val="both"/>
      </w:pPr>
      <w:r>
        <w:rPr>
          <w:rFonts w:ascii="Times New Roman" w:hAnsi="Times New Roman" w:eastAsia="Noto Serif CJK SC"/>
          <w:sz w:val="22"/>
        </w:rPr>
        <w:t>标签诊断与下游训练分开：标签层使用人工GT子集估计错误分布；效用层用统一超参数训练YOLO，并在冻结评测集上报告Precision、Recall、mAP@0.5、mAP@0.5:0.95。若某个标签视觉指标改善但下游指标没有稳定收益，则不把其定义为生产升级。</w:t>
      </w:r>
    </w:p>
    <w:p w14:paraId="3393B66E">
      <w:pPr>
        <w:pStyle w:val="4"/>
        <w:keepNext/>
        <w:widowControl/>
        <w:spacing w:before="140" w:after="60" w:line="276" w:lineRule="auto"/>
      </w:pPr>
      <w:r>
        <w:rPr>
          <w:rFonts w:ascii="Times New Roman" w:hAnsi="Times New Roman" w:eastAsia="Noto Sans CJK SC"/>
          <w:b/>
          <w:sz w:val="26"/>
        </w:rPr>
        <w:t>5.4 SAM3第二教师候选实验</w:t>
      </w:r>
    </w:p>
    <w:p w14:paraId="2DBAFC2E">
      <w:pPr>
        <w:widowControl/>
        <w:spacing w:before="80" w:after="80"/>
        <w:jc w:val="center"/>
      </w:pPr>
      <w:r>
        <w:rPr>
          <w:rFonts w:ascii="Times New Roman" w:hAnsi="Times New Roman" w:eastAsia="Noto Sans CJK SC"/>
          <w:b/>
          <w:sz w:val="18"/>
        </w:rPr>
        <w:t>表5-2  正式实验设计（E组）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8"/>
        <w:gridCol w:w="1858"/>
        <w:gridCol w:w="1858"/>
        <w:gridCol w:w="1858"/>
        <w:gridCol w:w="1858"/>
      </w:tblGrid>
      <w:tr w14:paraId="2D11E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D9EAF7"/>
            <w:tcMar>
              <w:top w:w="110" w:type="dxa"/>
              <w:left w:w="100" w:type="dxa"/>
              <w:bottom w:w="110" w:type="dxa"/>
              <w:right w:w="100" w:type="dxa"/>
            </w:tcMar>
            <w:vAlign w:val="center"/>
          </w:tcPr>
          <w:p w14:paraId="6E4058C2">
            <w:pPr>
              <w:spacing w:after="0" w:line="240" w:lineRule="auto"/>
              <w:jc w:val="center"/>
            </w:pPr>
            <w:r>
              <w:rPr>
                <w:rFonts w:ascii="Times New Roman" w:hAnsi="Times New Roman" w:eastAsia="Noto Sans CJK SC"/>
                <w:b/>
                <w:sz w:val="16"/>
              </w:rPr>
              <w:t>实验</w:t>
            </w:r>
          </w:p>
        </w:tc>
        <w:tc>
          <w:tcPr>
            <w:tcW w:w="2268" w:type="dxa"/>
            <w:shd w:val="clear" w:color="auto" w:fill="D9EAF7"/>
            <w:tcMar>
              <w:top w:w="110" w:type="dxa"/>
              <w:left w:w="100" w:type="dxa"/>
              <w:bottom w:w="110" w:type="dxa"/>
              <w:right w:w="100" w:type="dxa"/>
            </w:tcMar>
            <w:vAlign w:val="center"/>
          </w:tcPr>
          <w:p w14:paraId="28DE6D00">
            <w:pPr>
              <w:spacing w:after="0" w:line="240" w:lineRule="auto"/>
              <w:jc w:val="center"/>
            </w:pPr>
            <w:r>
              <w:rPr>
                <w:rFonts w:ascii="Times New Roman" w:hAnsi="Times New Roman" w:eastAsia="Noto Sans CJK SC"/>
                <w:b/>
                <w:sz w:val="16"/>
              </w:rPr>
              <w:t>方案</w:t>
            </w:r>
          </w:p>
        </w:tc>
        <w:tc>
          <w:tcPr>
            <w:tcW w:w="2948" w:type="dxa"/>
            <w:shd w:val="clear" w:color="auto" w:fill="D9EAF7"/>
            <w:tcMar>
              <w:top w:w="110" w:type="dxa"/>
              <w:left w:w="100" w:type="dxa"/>
              <w:bottom w:w="110" w:type="dxa"/>
              <w:right w:w="100" w:type="dxa"/>
            </w:tcMar>
            <w:vAlign w:val="center"/>
          </w:tcPr>
          <w:p w14:paraId="35D616C2">
            <w:pPr>
              <w:spacing w:after="0" w:line="240" w:lineRule="auto"/>
              <w:jc w:val="center"/>
            </w:pPr>
            <w:r>
              <w:rPr>
                <w:rFonts w:ascii="Times New Roman" w:hAnsi="Times New Roman" w:eastAsia="Noto Sans CJK SC"/>
                <w:b/>
                <w:sz w:val="16"/>
              </w:rPr>
              <w:t>研究目的</w:t>
            </w:r>
          </w:p>
        </w:tc>
        <w:tc>
          <w:tcPr>
            <w:tcW w:w="964" w:type="dxa"/>
            <w:shd w:val="clear" w:color="auto" w:fill="D9EAF7"/>
            <w:tcMar>
              <w:top w:w="110" w:type="dxa"/>
              <w:left w:w="100" w:type="dxa"/>
              <w:bottom w:w="110" w:type="dxa"/>
              <w:right w:w="100" w:type="dxa"/>
            </w:tcMar>
            <w:vAlign w:val="center"/>
          </w:tcPr>
          <w:p w14:paraId="1FE13C2B">
            <w:pPr>
              <w:spacing w:after="0" w:line="240" w:lineRule="auto"/>
              <w:jc w:val="center"/>
            </w:pPr>
            <w:r>
              <w:rPr>
                <w:rFonts w:ascii="Times New Roman" w:hAnsi="Times New Roman" w:eastAsia="Noto Sans CJK SC"/>
                <w:b/>
                <w:sz w:val="16"/>
              </w:rPr>
              <w:t>成本</w:t>
            </w:r>
          </w:p>
        </w:tc>
        <w:tc>
          <w:tcPr>
            <w:tcW w:w="1984" w:type="dxa"/>
            <w:shd w:val="clear" w:color="auto" w:fill="D9EAF7"/>
            <w:tcMar>
              <w:top w:w="110" w:type="dxa"/>
              <w:left w:w="100" w:type="dxa"/>
              <w:bottom w:w="110" w:type="dxa"/>
              <w:right w:w="100" w:type="dxa"/>
            </w:tcMar>
            <w:vAlign w:val="center"/>
          </w:tcPr>
          <w:p w14:paraId="61EF880A">
            <w:pPr>
              <w:spacing w:after="0" w:line="240" w:lineRule="auto"/>
              <w:jc w:val="center"/>
            </w:pPr>
            <w:r>
              <w:rPr>
                <w:rFonts w:ascii="Times New Roman" w:hAnsi="Times New Roman" w:eastAsia="Noto Sans CJK SC"/>
                <w:b/>
                <w:sz w:val="16"/>
              </w:rPr>
              <w:t>执行规则</w:t>
            </w:r>
          </w:p>
        </w:tc>
      </w:tr>
      <w:tr w14:paraId="23385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42870452">
            <w:pPr>
              <w:spacing w:after="0" w:line="276" w:lineRule="auto"/>
              <w:jc w:val="center"/>
            </w:pPr>
            <w:r>
              <w:rPr>
                <w:rFonts w:ascii="Times New Roman" w:hAnsi="Times New Roman" w:eastAsia="Noto Serif CJK SC"/>
                <w:sz w:val="16"/>
              </w:rPr>
              <w:t>E0</w:t>
            </w:r>
          </w:p>
        </w:tc>
        <w:tc>
          <w:tcPr>
            <w:tcW w:w="2268" w:type="dxa"/>
            <w:tcMar>
              <w:top w:w="90" w:type="dxa"/>
              <w:left w:w="100" w:type="dxa"/>
              <w:bottom w:w="90" w:type="dxa"/>
              <w:right w:w="100" w:type="dxa"/>
            </w:tcMar>
            <w:vAlign w:val="center"/>
          </w:tcPr>
          <w:p w14:paraId="04CBF140">
            <w:pPr>
              <w:spacing w:after="0" w:line="276" w:lineRule="auto"/>
              <w:jc w:val="left"/>
            </w:pPr>
            <w:r>
              <w:rPr>
                <w:rFonts w:ascii="Times New Roman" w:hAnsi="Times New Roman" w:eastAsia="Noto Serif CJK SC"/>
                <w:sz w:val="16"/>
              </w:rPr>
              <w:t>人工GT训练基线</w:t>
            </w:r>
          </w:p>
        </w:tc>
        <w:tc>
          <w:tcPr>
            <w:tcW w:w="2948" w:type="dxa"/>
            <w:tcMar>
              <w:top w:w="90" w:type="dxa"/>
              <w:left w:w="100" w:type="dxa"/>
              <w:bottom w:w="90" w:type="dxa"/>
              <w:right w:w="100" w:type="dxa"/>
            </w:tcMar>
            <w:vAlign w:val="center"/>
          </w:tcPr>
          <w:p w14:paraId="2898B546">
            <w:pPr>
              <w:spacing w:after="0" w:line="276" w:lineRule="auto"/>
              <w:jc w:val="left"/>
            </w:pPr>
            <w:r>
              <w:rPr>
                <w:rFonts w:ascii="Times New Roman" w:hAnsi="Times New Roman" w:eastAsia="Noto Serif CJK SC"/>
                <w:sz w:val="16"/>
              </w:rPr>
              <w:t>上界参考</w:t>
            </w:r>
          </w:p>
        </w:tc>
        <w:tc>
          <w:tcPr>
            <w:tcW w:w="964" w:type="dxa"/>
            <w:tcMar>
              <w:top w:w="90" w:type="dxa"/>
              <w:left w:w="100" w:type="dxa"/>
              <w:bottom w:w="90" w:type="dxa"/>
              <w:right w:w="100" w:type="dxa"/>
            </w:tcMar>
            <w:vAlign w:val="center"/>
          </w:tcPr>
          <w:p w14:paraId="0A969AD8">
            <w:pPr>
              <w:spacing w:after="0" w:line="276" w:lineRule="auto"/>
              <w:jc w:val="center"/>
            </w:pPr>
            <w:r>
              <w:rPr>
                <w:rFonts w:ascii="Times New Roman" w:hAnsi="Times New Roman" w:eastAsia="Noto Serif CJK SC"/>
                <w:sz w:val="16"/>
              </w:rPr>
              <w:t>人工标注</w:t>
            </w:r>
          </w:p>
        </w:tc>
        <w:tc>
          <w:tcPr>
            <w:tcW w:w="1984" w:type="dxa"/>
            <w:tcMar>
              <w:top w:w="90" w:type="dxa"/>
              <w:left w:w="100" w:type="dxa"/>
              <w:bottom w:w="90" w:type="dxa"/>
              <w:right w:w="100" w:type="dxa"/>
            </w:tcMar>
            <w:vAlign w:val="center"/>
          </w:tcPr>
          <w:p w14:paraId="713E3015">
            <w:pPr>
              <w:spacing w:after="0" w:line="276" w:lineRule="auto"/>
              <w:jc w:val="left"/>
            </w:pPr>
            <w:r>
              <w:rPr>
                <w:rFonts w:ascii="Times New Roman" w:hAnsi="Times New Roman" w:eastAsia="Noto Serif CJK SC"/>
                <w:sz w:val="16"/>
              </w:rPr>
              <w:t>必做，3 seeds</w:t>
            </w:r>
          </w:p>
        </w:tc>
      </w:tr>
      <w:tr w14:paraId="35A6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733034EA">
            <w:pPr>
              <w:spacing w:after="0" w:line="276" w:lineRule="auto"/>
              <w:jc w:val="center"/>
            </w:pPr>
            <w:r>
              <w:rPr>
                <w:rFonts w:ascii="Times New Roman" w:hAnsi="Times New Roman" w:eastAsia="Noto Serif CJK SC"/>
                <w:sz w:val="16"/>
              </w:rPr>
              <w:t>E1</w:t>
            </w:r>
          </w:p>
        </w:tc>
        <w:tc>
          <w:tcPr>
            <w:tcW w:w="2268" w:type="dxa"/>
            <w:tcMar>
              <w:top w:w="90" w:type="dxa"/>
              <w:left w:w="100" w:type="dxa"/>
              <w:bottom w:w="90" w:type="dxa"/>
              <w:right w:w="100" w:type="dxa"/>
            </w:tcMar>
            <w:vAlign w:val="center"/>
          </w:tcPr>
          <w:p w14:paraId="34DD8B7D">
            <w:pPr>
              <w:spacing w:after="0" w:line="276" w:lineRule="auto"/>
              <w:jc w:val="left"/>
            </w:pPr>
            <w:r>
              <w:rPr>
                <w:rFonts w:ascii="Times New Roman" w:hAnsi="Times New Roman" w:eastAsia="Noto Serif CJK SC"/>
                <w:sz w:val="16"/>
              </w:rPr>
              <w:t>Grounding DINO V1</w:t>
            </w:r>
          </w:p>
        </w:tc>
        <w:tc>
          <w:tcPr>
            <w:tcW w:w="2948" w:type="dxa"/>
            <w:tcMar>
              <w:top w:w="90" w:type="dxa"/>
              <w:left w:w="100" w:type="dxa"/>
              <w:bottom w:w="90" w:type="dxa"/>
              <w:right w:w="100" w:type="dxa"/>
            </w:tcMar>
            <w:vAlign w:val="center"/>
          </w:tcPr>
          <w:p w14:paraId="309034FE">
            <w:pPr>
              <w:spacing w:after="0" w:line="276" w:lineRule="auto"/>
              <w:jc w:val="left"/>
            </w:pPr>
            <w:r>
              <w:rPr>
                <w:rFonts w:ascii="Times New Roman" w:hAnsi="Times New Roman" w:eastAsia="Noto Serif CJK SC"/>
                <w:sz w:val="16"/>
              </w:rPr>
              <w:t>自动生产基线</w:t>
            </w:r>
          </w:p>
        </w:tc>
        <w:tc>
          <w:tcPr>
            <w:tcW w:w="964" w:type="dxa"/>
            <w:tcMar>
              <w:top w:w="90" w:type="dxa"/>
              <w:left w:w="100" w:type="dxa"/>
              <w:bottom w:w="90" w:type="dxa"/>
              <w:right w:w="100" w:type="dxa"/>
            </w:tcMar>
            <w:vAlign w:val="center"/>
          </w:tcPr>
          <w:p w14:paraId="0F69CD8A">
            <w:pPr>
              <w:spacing w:after="0" w:line="276" w:lineRule="auto"/>
              <w:jc w:val="center"/>
            </w:pPr>
            <w:r>
              <w:rPr>
                <w:rFonts w:ascii="Times New Roman" w:hAnsi="Times New Roman" w:eastAsia="Noto Serif CJK SC"/>
                <w:sz w:val="16"/>
              </w:rPr>
              <w:t>低</w:t>
            </w:r>
          </w:p>
        </w:tc>
        <w:tc>
          <w:tcPr>
            <w:tcW w:w="1984" w:type="dxa"/>
            <w:tcMar>
              <w:top w:w="90" w:type="dxa"/>
              <w:left w:w="100" w:type="dxa"/>
              <w:bottom w:w="90" w:type="dxa"/>
              <w:right w:w="100" w:type="dxa"/>
            </w:tcMar>
            <w:vAlign w:val="center"/>
          </w:tcPr>
          <w:p w14:paraId="05864B6A">
            <w:pPr>
              <w:spacing w:after="0" w:line="276" w:lineRule="auto"/>
              <w:jc w:val="left"/>
            </w:pPr>
            <w:r>
              <w:rPr>
                <w:rFonts w:ascii="Times New Roman" w:hAnsi="Times New Roman" w:eastAsia="Noto Serif CJK SC"/>
                <w:sz w:val="16"/>
              </w:rPr>
              <w:t>必做，3 seeds</w:t>
            </w:r>
          </w:p>
        </w:tc>
      </w:tr>
      <w:tr w14:paraId="3C95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7AC29E6F">
            <w:pPr>
              <w:spacing w:after="0" w:line="276" w:lineRule="auto"/>
              <w:jc w:val="center"/>
            </w:pPr>
            <w:r>
              <w:rPr>
                <w:rFonts w:ascii="Times New Roman" w:hAnsi="Times New Roman" w:eastAsia="Noto Serif CJK SC"/>
                <w:sz w:val="16"/>
              </w:rPr>
              <w:t>E2</w:t>
            </w:r>
          </w:p>
        </w:tc>
        <w:tc>
          <w:tcPr>
            <w:tcW w:w="2268" w:type="dxa"/>
            <w:tcMar>
              <w:top w:w="90" w:type="dxa"/>
              <w:left w:w="100" w:type="dxa"/>
              <w:bottom w:w="90" w:type="dxa"/>
              <w:right w:w="100" w:type="dxa"/>
            </w:tcMar>
            <w:vAlign w:val="center"/>
          </w:tcPr>
          <w:p w14:paraId="25F84C43">
            <w:pPr>
              <w:spacing w:after="0" w:line="276" w:lineRule="auto"/>
              <w:jc w:val="left"/>
            </w:pPr>
            <w:r>
              <w:rPr>
                <w:rFonts w:ascii="Times New Roman" w:hAnsi="Times New Roman" w:eastAsia="Noto Serif CJK SC"/>
                <w:sz w:val="16"/>
              </w:rPr>
              <w:t>V1 + GT离线质量诊断</w:t>
            </w:r>
          </w:p>
        </w:tc>
        <w:tc>
          <w:tcPr>
            <w:tcW w:w="2948" w:type="dxa"/>
            <w:tcMar>
              <w:top w:w="90" w:type="dxa"/>
              <w:left w:w="100" w:type="dxa"/>
              <w:bottom w:w="90" w:type="dxa"/>
              <w:right w:w="100" w:type="dxa"/>
            </w:tcMar>
            <w:vAlign w:val="center"/>
          </w:tcPr>
          <w:p w14:paraId="76C4871D">
            <w:pPr>
              <w:spacing w:after="0" w:line="276" w:lineRule="auto"/>
              <w:jc w:val="left"/>
            </w:pPr>
            <w:r>
              <w:rPr>
                <w:rFonts w:ascii="Times New Roman" w:hAnsi="Times New Roman" w:eastAsia="Noto Serif CJK SC"/>
                <w:sz w:val="16"/>
              </w:rPr>
              <w:t>解释错误机制</w:t>
            </w:r>
          </w:p>
        </w:tc>
        <w:tc>
          <w:tcPr>
            <w:tcW w:w="964" w:type="dxa"/>
            <w:tcMar>
              <w:top w:w="90" w:type="dxa"/>
              <w:left w:w="100" w:type="dxa"/>
              <w:bottom w:w="90" w:type="dxa"/>
              <w:right w:w="100" w:type="dxa"/>
            </w:tcMar>
            <w:vAlign w:val="center"/>
          </w:tcPr>
          <w:p w14:paraId="3A594863">
            <w:pPr>
              <w:spacing w:after="0" w:line="276" w:lineRule="auto"/>
              <w:jc w:val="center"/>
            </w:pPr>
            <w:r>
              <w:rPr>
                <w:rFonts w:ascii="Times New Roman" w:hAnsi="Times New Roman" w:eastAsia="Noto Serif CJK SC"/>
                <w:sz w:val="16"/>
              </w:rPr>
              <w:t>低</w:t>
            </w:r>
          </w:p>
        </w:tc>
        <w:tc>
          <w:tcPr>
            <w:tcW w:w="1984" w:type="dxa"/>
            <w:tcMar>
              <w:top w:w="90" w:type="dxa"/>
              <w:left w:w="100" w:type="dxa"/>
              <w:bottom w:w="90" w:type="dxa"/>
              <w:right w:w="100" w:type="dxa"/>
            </w:tcMar>
            <w:vAlign w:val="center"/>
          </w:tcPr>
          <w:p w14:paraId="13E5EB47">
            <w:pPr>
              <w:spacing w:after="0" w:line="276" w:lineRule="auto"/>
              <w:jc w:val="left"/>
            </w:pPr>
            <w:r>
              <w:rPr>
                <w:rFonts w:ascii="Times New Roman" w:hAnsi="Times New Roman" w:eastAsia="Noto Serif CJK SC"/>
                <w:sz w:val="16"/>
              </w:rPr>
              <w:t>必做，不生成新标签</w:t>
            </w:r>
          </w:p>
        </w:tc>
      </w:tr>
      <w:tr w14:paraId="7ED9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7B28C815">
            <w:pPr>
              <w:spacing w:after="0" w:line="276" w:lineRule="auto"/>
              <w:jc w:val="center"/>
            </w:pPr>
            <w:r>
              <w:rPr>
                <w:rFonts w:ascii="Times New Roman" w:hAnsi="Times New Roman" w:eastAsia="Noto Serif CJK SC"/>
                <w:sz w:val="16"/>
              </w:rPr>
              <w:t>E3</w:t>
            </w:r>
          </w:p>
        </w:tc>
        <w:tc>
          <w:tcPr>
            <w:tcW w:w="2268" w:type="dxa"/>
            <w:tcMar>
              <w:top w:w="90" w:type="dxa"/>
              <w:left w:w="100" w:type="dxa"/>
              <w:bottom w:w="90" w:type="dxa"/>
              <w:right w:w="100" w:type="dxa"/>
            </w:tcMar>
            <w:vAlign w:val="center"/>
          </w:tcPr>
          <w:p w14:paraId="478F180C">
            <w:pPr>
              <w:spacing w:after="0" w:line="276" w:lineRule="auto"/>
              <w:jc w:val="left"/>
            </w:pPr>
            <w:r>
              <w:rPr>
                <w:rFonts w:ascii="Times New Roman" w:hAnsi="Times New Roman" w:eastAsia="Noto Serif CJK SC"/>
                <w:sz w:val="16"/>
              </w:rPr>
              <w:t>DINO + SAM3 Verifier Only</w:t>
            </w:r>
          </w:p>
        </w:tc>
        <w:tc>
          <w:tcPr>
            <w:tcW w:w="2948" w:type="dxa"/>
            <w:tcMar>
              <w:top w:w="90" w:type="dxa"/>
              <w:left w:w="100" w:type="dxa"/>
              <w:bottom w:w="90" w:type="dxa"/>
              <w:right w:w="100" w:type="dxa"/>
            </w:tcMar>
            <w:vAlign w:val="center"/>
          </w:tcPr>
          <w:p w14:paraId="158EF0A9">
            <w:pPr>
              <w:spacing w:after="0" w:line="276" w:lineRule="auto"/>
              <w:jc w:val="left"/>
            </w:pPr>
            <w:r>
              <w:rPr>
                <w:rFonts w:ascii="Times New Roman" w:hAnsi="Times New Roman" w:eastAsia="Noto Serif CJK SC"/>
                <w:sz w:val="16"/>
              </w:rPr>
              <w:t>验证语义审核价值；保留DINO框</w:t>
            </w:r>
          </w:p>
        </w:tc>
        <w:tc>
          <w:tcPr>
            <w:tcW w:w="964" w:type="dxa"/>
            <w:tcMar>
              <w:top w:w="90" w:type="dxa"/>
              <w:left w:w="100" w:type="dxa"/>
              <w:bottom w:w="90" w:type="dxa"/>
              <w:right w:w="100" w:type="dxa"/>
            </w:tcMar>
            <w:vAlign w:val="center"/>
          </w:tcPr>
          <w:p w14:paraId="2B49BB52">
            <w:pPr>
              <w:spacing w:after="0" w:line="276" w:lineRule="auto"/>
              <w:jc w:val="center"/>
            </w:pPr>
            <w:r>
              <w:rPr>
                <w:rFonts w:ascii="Times New Roman" w:hAnsi="Times New Roman" w:eastAsia="Noto Serif CJK SC"/>
                <w:sz w:val="16"/>
              </w:rPr>
              <w:t>中</w:t>
            </w:r>
          </w:p>
        </w:tc>
        <w:tc>
          <w:tcPr>
            <w:tcW w:w="1984" w:type="dxa"/>
            <w:tcMar>
              <w:top w:w="90" w:type="dxa"/>
              <w:left w:w="100" w:type="dxa"/>
              <w:bottom w:w="90" w:type="dxa"/>
              <w:right w:w="100" w:type="dxa"/>
            </w:tcMar>
            <w:vAlign w:val="center"/>
          </w:tcPr>
          <w:p w14:paraId="23C1F18D">
            <w:pPr>
              <w:spacing w:after="0" w:line="276" w:lineRule="auto"/>
              <w:jc w:val="left"/>
            </w:pPr>
            <w:r>
              <w:rPr>
                <w:rFonts w:ascii="Times New Roman" w:hAnsi="Times New Roman" w:eastAsia="Noto Serif CJK SC"/>
                <w:sz w:val="16"/>
              </w:rPr>
              <w:t>优先候选，小规模门槛</w:t>
            </w:r>
          </w:p>
        </w:tc>
      </w:tr>
      <w:tr w14:paraId="4A38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21F28BD0">
            <w:pPr>
              <w:spacing w:after="0" w:line="276" w:lineRule="auto"/>
              <w:jc w:val="center"/>
            </w:pPr>
            <w:r>
              <w:rPr>
                <w:rFonts w:ascii="Times New Roman" w:hAnsi="Times New Roman" w:eastAsia="Noto Serif CJK SC"/>
                <w:sz w:val="16"/>
              </w:rPr>
              <w:t>E4</w:t>
            </w:r>
          </w:p>
        </w:tc>
        <w:tc>
          <w:tcPr>
            <w:tcW w:w="2268" w:type="dxa"/>
            <w:tcMar>
              <w:top w:w="90" w:type="dxa"/>
              <w:left w:w="100" w:type="dxa"/>
              <w:bottom w:w="90" w:type="dxa"/>
              <w:right w:w="100" w:type="dxa"/>
            </w:tcMar>
            <w:vAlign w:val="center"/>
          </w:tcPr>
          <w:p w14:paraId="12CD362D">
            <w:pPr>
              <w:spacing w:after="0" w:line="276" w:lineRule="auto"/>
              <w:jc w:val="left"/>
            </w:pPr>
            <w:r>
              <w:rPr>
                <w:rFonts w:ascii="Times New Roman" w:hAnsi="Times New Roman" w:eastAsia="Noto Serif CJK SC"/>
                <w:sz w:val="16"/>
              </w:rPr>
              <w:t>DINO + SAM3 Verifier + Append</w:t>
            </w:r>
          </w:p>
        </w:tc>
        <w:tc>
          <w:tcPr>
            <w:tcW w:w="2948" w:type="dxa"/>
            <w:tcMar>
              <w:top w:w="90" w:type="dxa"/>
              <w:left w:w="100" w:type="dxa"/>
              <w:bottom w:w="90" w:type="dxa"/>
              <w:right w:w="100" w:type="dxa"/>
            </w:tcMar>
            <w:vAlign w:val="center"/>
          </w:tcPr>
          <w:p w14:paraId="4B08C823">
            <w:pPr>
              <w:spacing w:after="0" w:line="276" w:lineRule="auto"/>
              <w:jc w:val="left"/>
            </w:pPr>
            <w:r>
              <w:rPr>
                <w:rFonts w:ascii="Times New Roman" w:hAnsi="Times New Roman" w:eastAsia="Noto Serif CJK SC"/>
                <w:sz w:val="16"/>
              </w:rPr>
              <w:t>验证第二教师补漏价值</w:t>
            </w:r>
          </w:p>
        </w:tc>
        <w:tc>
          <w:tcPr>
            <w:tcW w:w="964" w:type="dxa"/>
            <w:tcMar>
              <w:top w:w="90" w:type="dxa"/>
              <w:left w:w="100" w:type="dxa"/>
              <w:bottom w:w="90" w:type="dxa"/>
              <w:right w:w="100" w:type="dxa"/>
            </w:tcMar>
            <w:vAlign w:val="center"/>
          </w:tcPr>
          <w:p w14:paraId="69A8D1B6">
            <w:pPr>
              <w:spacing w:after="0" w:line="276" w:lineRule="auto"/>
              <w:jc w:val="center"/>
            </w:pPr>
            <w:r>
              <w:rPr>
                <w:rFonts w:ascii="Times New Roman" w:hAnsi="Times New Roman" w:eastAsia="Noto Serif CJK SC"/>
                <w:sz w:val="16"/>
              </w:rPr>
              <w:t>中/高</w:t>
            </w:r>
          </w:p>
        </w:tc>
        <w:tc>
          <w:tcPr>
            <w:tcW w:w="1984" w:type="dxa"/>
            <w:tcMar>
              <w:top w:w="90" w:type="dxa"/>
              <w:left w:w="100" w:type="dxa"/>
              <w:bottom w:w="90" w:type="dxa"/>
              <w:right w:w="100" w:type="dxa"/>
            </w:tcMar>
            <w:vAlign w:val="center"/>
          </w:tcPr>
          <w:p w14:paraId="769C8665">
            <w:pPr>
              <w:spacing w:after="0" w:line="276" w:lineRule="auto"/>
              <w:jc w:val="left"/>
            </w:pPr>
            <w:r>
              <w:rPr>
                <w:rFonts w:ascii="Times New Roman" w:hAnsi="Times New Roman" w:eastAsia="Noto Serif CJK SC"/>
                <w:sz w:val="16"/>
              </w:rPr>
              <w:t>候选；先人工抽检新增框</w:t>
            </w:r>
          </w:p>
        </w:tc>
      </w:tr>
      <w:tr w14:paraId="1C0D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652B45DF">
            <w:pPr>
              <w:spacing w:after="0" w:line="276" w:lineRule="auto"/>
              <w:jc w:val="center"/>
            </w:pPr>
            <w:r>
              <w:rPr>
                <w:rFonts w:ascii="Times New Roman" w:hAnsi="Times New Roman" w:eastAsia="Noto Serif CJK SC"/>
                <w:sz w:val="16"/>
              </w:rPr>
              <w:t>E5</w:t>
            </w:r>
          </w:p>
        </w:tc>
        <w:tc>
          <w:tcPr>
            <w:tcW w:w="2268" w:type="dxa"/>
            <w:tcMar>
              <w:top w:w="90" w:type="dxa"/>
              <w:left w:w="100" w:type="dxa"/>
              <w:bottom w:w="90" w:type="dxa"/>
              <w:right w:w="100" w:type="dxa"/>
            </w:tcMar>
            <w:vAlign w:val="center"/>
          </w:tcPr>
          <w:p w14:paraId="418489EF">
            <w:pPr>
              <w:spacing w:after="0" w:line="276" w:lineRule="auto"/>
              <w:jc w:val="left"/>
            </w:pPr>
            <w:r>
              <w:rPr>
                <w:rFonts w:ascii="Times New Roman" w:hAnsi="Times New Roman" w:eastAsia="Noto Serif CJK SC"/>
                <w:sz w:val="16"/>
              </w:rPr>
              <w:t>DINO + SAM3 Box Refinement</w:t>
            </w:r>
          </w:p>
        </w:tc>
        <w:tc>
          <w:tcPr>
            <w:tcW w:w="2948" w:type="dxa"/>
            <w:tcMar>
              <w:top w:w="90" w:type="dxa"/>
              <w:left w:w="100" w:type="dxa"/>
              <w:bottom w:w="90" w:type="dxa"/>
              <w:right w:w="100" w:type="dxa"/>
            </w:tcMar>
            <w:vAlign w:val="center"/>
          </w:tcPr>
          <w:p w14:paraId="0B65612C">
            <w:pPr>
              <w:spacing w:after="0" w:line="276" w:lineRule="auto"/>
              <w:jc w:val="left"/>
            </w:pPr>
            <w:r>
              <w:rPr>
                <w:rFonts w:ascii="Times New Roman" w:hAnsi="Times New Roman" w:eastAsia="Noto Serif CJK SC"/>
                <w:sz w:val="16"/>
              </w:rPr>
              <w:t>验证mask框是否改善定位</w:t>
            </w:r>
          </w:p>
        </w:tc>
        <w:tc>
          <w:tcPr>
            <w:tcW w:w="964" w:type="dxa"/>
            <w:tcMar>
              <w:top w:w="90" w:type="dxa"/>
              <w:left w:w="100" w:type="dxa"/>
              <w:bottom w:w="90" w:type="dxa"/>
              <w:right w:w="100" w:type="dxa"/>
            </w:tcMar>
            <w:vAlign w:val="center"/>
          </w:tcPr>
          <w:p w14:paraId="584D2C88">
            <w:pPr>
              <w:spacing w:after="0" w:line="276" w:lineRule="auto"/>
              <w:jc w:val="center"/>
            </w:pPr>
            <w:r>
              <w:rPr>
                <w:rFonts w:ascii="Times New Roman" w:hAnsi="Times New Roman" w:eastAsia="Noto Serif CJK SC"/>
                <w:sz w:val="16"/>
              </w:rPr>
              <w:t>中/高</w:t>
            </w:r>
          </w:p>
        </w:tc>
        <w:tc>
          <w:tcPr>
            <w:tcW w:w="1984" w:type="dxa"/>
            <w:tcMar>
              <w:top w:w="90" w:type="dxa"/>
              <w:left w:w="100" w:type="dxa"/>
              <w:bottom w:w="90" w:type="dxa"/>
              <w:right w:w="100" w:type="dxa"/>
            </w:tcMar>
            <w:vAlign w:val="center"/>
          </w:tcPr>
          <w:p w14:paraId="0B99A81B">
            <w:pPr>
              <w:spacing w:after="0" w:line="276" w:lineRule="auto"/>
              <w:jc w:val="left"/>
            </w:pPr>
            <w:r>
              <w:rPr>
                <w:rFonts w:ascii="Times New Roman" w:hAnsi="Times New Roman" w:eastAsia="Noto Serif CJK SC"/>
                <w:sz w:val="16"/>
              </w:rPr>
              <w:t>仅小规模；当前Pilot已显示高风险</w:t>
            </w:r>
          </w:p>
        </w:tc>
      </w:tr>
      <w:tr w14:paraId="4847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4CD78D5F">
            <w:pPr>
              <w:spacing w:after="0" w:line="276" w:lineRule="auto"/>
              <w:jc w:val="center"/>
            </w:pPr>
            <w:r>
              <w:rPr>
                <w:rFonts w:ascii="Times New Roman" w:hAnsi="Times New Roman" w:eastAsia="Noto Serif CJK SC"/>
                <w:sz w:val="16"/>
              </w:rPr>
              <w:t>E6</w:t>
            </w:r>
          </w:p>
        </w:tc>
        <w:tc>
          <w:tcPr>
            <w:tcW w:w="2268" w:type="dxa"/>
            <w:tcMar>
              <w:top w:w="90" w:type="dxa"/>
              <w:left w:w="100" w:type="dxa"/>
              <w:bottom w:w="90" w:type="dxa"/>
              <w:right w:w="100" w:type="dxa"/>
            </w:tcMar>
            <w:vAlign w:val="center"/>
          </w:tcPr>
          <w:p w14:paraId="536359F3">
            <w:pPr>
              <w:spacing w:after="0" w:line="276" w:lineRule="auto"/>
              <w:jc w:val="left"/>
            </w:pPr>
            <w:r>
              <w:rPr>
                <w:rFonts w:ascii="Times New Roman" w:hAnsi="Times New Roman" w:eastAsia="Noto Serif CJK SC"/>
                <w:sz w:val="16"/>
              </w:rPr>
              <w:t>保守三档Verifier/否决规则</w:t>
            </w:r>
          </w:p>
        </w:tc>
        <w:tc>
          <w:tcPr>
            <w:tcW w:w="2948" w:type="dxa"/>
            <w:tcMar>
              <w:top w:w="90" w:type="dxa"/>
              <w:left w:w="100" w:type="dxa"/>
              <w:bottom w:w="90" w:type="dxa"/>
              <w:right w:w="100" w:type="dxa"/>
            </w:tcMar>
            <w:vAlign w:val="center"/>
          </w:tcPr>
          <w:p w14:paraId="30724ADD">
            <w:pPr>
              <w:spacing w:after="0" w:line="276" w:lineRule="auto"/>
              <w:jc w:val="left"/>
            </w:pPr>
            <w:r>
              <w:rPr>
                <w:rFonts w:ascii="Times New Roman" w:hAnsi="Times New Roman" w:eastAsia="Noto Serif CJK SC"/>
                <w:sz w:val="16"/>
              </w:rPr>
              <w:t>优化“默认信DINO、强证据否决”</w:t>
            </w:r>
          </w:p>
        </w:tc>
        <w:tc>
          <w:tcPr>
            <w:tcW w:w="964" w:type="dxa"/>
            <w:tcMar>
              <w:top w:w="90" w:type="dxa"/>
              <w:left w:w="100" w:type="dxa"/>
              <w:bottom w:w="90" w:type="dxa"/>
              <w:right w:w="100" w:type="dxa"/>
            </w:tcMar>
            <w:vAlign w:val="center"/>
          </w:tcPr>
          <w:p w14:paraId="35406E3D">
            <w:pPr>
              <w:spacing w:after="0" w:line="276" w:lineRule="auto"/>
              <w:jc w:val="center"/>
            </w:pPr>
            <w:r>
              <w:rPr>
                <w:rFonts w:ascii="Times New Roman" w:hAnsi="Times New Roman" w:eastAsia="Noto Serif CJK SC"/>
                <w:sz w:val="16"/>
              </w:rPr>
              <w:t>中</w:t>
            </w:r>
          </w:p>
        </w:tc>
        <w:tc>
          <w:tcPr>
            <w:tcW w:w="1984" w:type="dxa"/>
            <w:tcMar>
              <w:top w:w="90" w:type="dxa"/>
              <w:left w:w="100" w:type="dxa"/>
              <w:bottom w:w="90" w:type="dxa"/>
              <w:right w:w="100" w:type="dxa"/>
            </w:tcMar>
            <w:vAlign w:val="center"/>
          </w:tcPr>
          <w:p w14:paraId="1251A37C">
            <w:pPr>
              <w:spacing w:after="0" w:line="276" w:lineRule="auto"/>
              <w:jc w:val="left"/>
            </w:pPr>
            <w:r>
              <w:rPr>
                <w:rFonts w:ascii="Times New Roman" w:hAnsi="Times New Roman" w:eastAsia="Noto Serif CJK SC"/>
                <w:sz w:val="16"/>
              </w:rPr>
              <w:t>重点候选</w:t>
            </w:r>
          </w:p>
        </w:tc>
      </w:tr>
      <w:tr w14:paraId="3732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19EF1F7C">
            <w:pPr>
              <w:spacing w:after="0" w:line="276" w:lineRule="auto"/>
              <w:jc w:val="center"/>
            </w:pPr>
            <w:r>
              <w:rPr>
                <w:rFonts w:ascii="Times New Roman" w:hAnsi="Times New Roman" w:eastAsia="Noto Serif CJK SC"/>
                <w:sz w:val="16"/>
              </w:rPr>
              <w:t>E7</w:t>
            </w:r>
          </w:p>
        </w:tc>
        <w:tc>
          <w:tcPr>
            <w:tcW w:w="2268" w:type="dxa"/>
            <w:tcMar>
              <w:top w:w="90" w:type="dxa"/>
              <w:left w:w="100" w:type="dxa"/>
              <w:bottom w:w="90" w:type="dxa"/>
              <w:right w:w="100" w:type="dxa"/>
            </w:tcMar>
            <w:vAlign w:val="center"/>
          </w:tcPr>
          <w:p w14:paraId="32BD29A0">
            <w:pPr>
              <w:spacing w:after="0" w:line="276" w:lineRule="auto"/>
              <w:jc w:val="left"/>
            </w:pPr>
            <w:r>
              <w:rPr>
                <w:rFonts w:ascii="Times New Roman" w:hAnsi="Times New Roman" w:eastAsia="Noto Serif CJK SC"/>
                <w:sz w:val="16"/>
              </w:rPr>
              <w:t>通过门槛的最优方案全量V2</w:t>
            </w:r>
          </w:p>
        </w:tc>
        <w:tc>
          <w:tcPr>
            <w:tcW w:w="2948" w:type="dxa"/>
            <w:tcMar>
              <w:top w:w="90" w:type="dxa"/>
              <w:left w:w="100" w:type="dxa"/>
              <w:bottom w:w="90" w:type="dxa"/>
              <w:right w:w="100" w:type="dxa"/>
            </w:tcMar>
            <w:vAlign w:val="center"/>
          </w:tcPr>
          <w:p w14:paraId="02AD8108">
            <w:pPr>
              <w:spacing w:after="0" w:line="276" w:lineRule="auto"/>
              <w:jc w:val="left"/>
            </w:pPr>
            <w:r>
              <w:rPr>
                <w:rFonts w:ascii="Times New Roman" w:hAnsi="Times New Roman" w:eastAsia="Noto Serif CJK SC"/>
                <w:sz w:val="16"/>
              </w:rPr>
              <w:t>验证全量可训练收益</w:t>
            </w:r>
          </w:p>
        </w:tc>
        <w:tc>
          <w:tcPr>
            <w:tcW w:w="964" w:type="dxa"/>
            <w:tcMar>
              <w:top w:w="90" w:type="dxa"/>
              <w:left w:w="100" w:type="dxa"/>
              <w:bottom w:w="90" w:type="dxa"/>
              <w:right w:w="100" w:type="dxa"/>
            </w:tcMar>
            <w:vAlign w:val="center"/>
          </w:tcPr>
          <w:p w14:paraId="20E231E3">
            <w:pPr>
              <w:spacing w:after="0" w:line="276" w:lineRule="auto"/>
              <w:jc w:val="center"/>
            </w:pPr>
            <w:r>
              <w:rPr>
                <w:rFonts w:ascii="Times New Roman" w:hAnsi="Times New Roman" w:eastAsia="Noto Serif CJK SC"/>
                <w:sz w:val="16"/>
              </w:rPr>
              <w:t>按方案</w:t>
            </w:r>
          </w:p>
        </w:tc>
        <w:tc>
          <w:tcPr>
            <w:tcW w:w="1984" w:type="dxa"/>
            <w:tcMar>
              <w:top w:w="90" w:type="dxa"/>
              <w:left w:w="100" w:type="dxa"/>
              <w:bottom w:w="90" w:type="dxa"/>
              <w:right w:w="100" w:type="dxa"/>
            </w:tcMar>
            <w:vAlign w:val="center"/>
          </w:tcPr>
          <w:p w14:paraId="2E58E9EA">
            <w:pPr>
              <w:spacing w:after="0" w:line="276" w:lineRule="auto"/>
              <w:jc w:val="left"/>
            </w:pPr>
            <w:r>
              <w:rPr>
                <w:rFonts w:ascii="Times New Roman" w:hAnsi="Times New Roman" w:eastAsia="Noto Serif CJK SC"/>
                <w:sz w:val="16"/>
              </w:rPr>
              <w:t>条件执行</w:t>
            </w:r>
          </w:p>
        </w:tc>
      </w:tr>
      <w:tr w14:paraId="0E68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59D15A35">
            <w:pPr>
              <w:spacing w:after="0" w:line="276" w:lineRule="auto"/>
              <w:jc w:val="center"/>
            </w:pPr>
            <w:r>
              <w:rPr>
                <w:rFonts w:ascii="Times New Roman" w:hAnsi="Times New Roman" w:eastAsia="Noto Serif CJK SC"/>
                <w:sz w:val="16"/>
              </w:rPr>
              <w:t>E8</w:t>
            </w:r>
          </w:p>
        </w:tc>
        <w:tc>
          <w:tcPr>
            <w:tcW w:w="2268" w:type="dxa"/>
            <w:tcMar>
              <w:top w:w="90" w:type="dxa"/>
              <w:left w:w="100" w:type="dxa"/>
              <w:bottom w:w="90" w:type="dxa"/>
              <w:right w:w="100" w:type="dxa"/>
            </w:tcMar>
            <w:vAlign w:val="center"/>
          </w:tcPr>
          <w:p w14:paraId="0E85A050">
            <w:pPr>
              <w:spacing w:after="0" w:line="276" w:lineRule="auto"/>
              <w:jc w:val="left"/>
            </w:pPr>
            <w:r>
              <w:rPr>
                <w:rFonts w:ascii="Times New Roman" w:hAnsi="Times New Roman" w:eastAsia="Noto Serif CJK SC"/>
                <w:sz w:val="16"/>
              </w:rPr>
              <w:t>E0/E1/E7多seed + 成本/Pareto</w:t>
            </w:r>
          </w:p>
        </w:tc>
        <w:tc>
          <w:tcPr>
            <w:tcW w:w="2948" w:type="dxa"/>
            <w:tcMar>
              <w:top w:w="90" w:type="dxa"/>
              <w:left w:w="100" w:type="dxa"/>
              <w:bottom w:w="90" w:type="dxa"/>
              <w:right w:w="100" w:type="dxa"/>
            </w:tcMar>
            <w:vAlign w:val="center"/>
          </w:tcPr>
          <w:p w14:paraId="73126D08">
            <w:pPr>
              <w:spacing w:after="0" w:line="276" w:lineRule="auto"/>
              <w:jc w:val="left"/>
            </w:pPr>
            <w:r>
              <w:rPr>
                <w:rFonts w:ascii="Times New Roman" w:hAnsi="Times New Roman" w:eastAsia="Noto Serif CJK SC"/>
                <w:sz w:val="16"/>
              </w:rPr>
              <w:t>形成最终管理决策</w:t>
            </w:r>
          </w:p>
        </w:tc>
        <w:tc>
          <w:tcPr>
            <w:tcW w:w="964" w:type="dxa"/>
            <w:tcMar>
              <w:top w:w="90" w:type="dxa"/>
              <w:left w:w="100" w:type="dxa"/>
              <w:bottom w:w="90" w:type="dxa"/>
              <w:right w:w="100" w:type="dxa"/>
            </w:tcMar>
            <w:vAlign w:val="center"/>
          </w:tcPr>
          <w:p w14:paraId="15BE989C">
            <w:pPr>
              <w:spacing w:after="0" w:line="276" w:lineRule="auto"/>
              <w:jc w:val="center"/>
            </w:pPr>
            <w:r>
              <w:rPr>
                <w:rFonts w:ascii="Times New Roman" w:hAnsi="Times New Roman" w:eastAsia="Noto Serif CJK SC"/>
                <w:sz w:val="16"/>
              </w:rPr>
              <w:t>按需</w:t>
            </w:r>
          </w:p>
        </w:tc>
        <w:tc>
          <w:tcPr>
            <w:tcW w:w="1984" w:type="dxa"/>
            <w:tcMar>
              <w:top w:w="90" w:type="dxa"/>
              <w:left w:w="100" w:type="dxa"/>
              <w:bottom w:w="90" w:type="dxa"/>
              <w:right w:w="100" w:type="dxa"/>
            </w:tcMar>
            <w:vAlign w:val="center"/>
          </w:tcPr>
          <w:p w14:paraId="2CF709D8">
            <w:pPr>
              <w:spacing w:after="0" w:line="276" w:lineRule="auto"/>
              <w:jc w:val="left"/>
            </w:pPr>
            <w:r>
              <w:rPr>
                <w:rFonts w:ascii="Times New Roman" w:hAnsi="Times New Roman" w:eastAsia="Noto Serif CJK SC"/>
                <w:sz w:val="16"/>
              </w:rPr>
              <w:t>必做</w:t>
            </w:r>
          </w:p>
        </w:tc>
      </w:tr>
    </w:tbl>
    <w:p w14:paraId="5FCC70DE">
      <w:pPr>
        <w:widowControl/>
        <w:spacing w:after="20"/>
      </w:pPr>
    </w:p>
    <w:p w14:paraId="32FD2396">
      <w:pPr>
        <w:pStyle w:val="4"/>
        <w:keepNext/>
        <w:widowControl/>
        <w:spacing w:before="140" w:after="60" w:line="276" w:lineRule="auto"/>
      </w:pPr>
      <w:r>
        <w:rPr>
          <w:rFonts w:ascii="Times New Roman" w:hAnsi="Times New Roman" w:eastAsia="Noto Sans CJK SC"/>
          <w:b/>
          <w:sz w:val="26"/>
        </w:rPr>
        <w:t>5.5 Verifier融合规则与门槛</w:t>
      </w:r>
    </w:p>
    <w:p w14:paraId="28D46743">
      <w:pPr>
        <w:widowControl/>
        <w:spacing w:before="0" w:after="100" w:line="360" w:lineRule="auto"/>
        <w:ind w:firstLine="420"/>
        <w:jc w:val="both"/>
      </w:pPr>
      <w:r>
        <w:rPr>
          <w:rFonts w:ascii="Times New Roman" w:hAnsi="Times New Roman" w:eastAsia="Noto Serif CJK SC"/>
          <w:sz w:val="22"/>
        </w:rPr>
        <w:t>根据2026年8月17日结果，后续不采用“只要SAM3未支持就删除”的强硬逻辑，而采用保守否决和三档判定：Strong Keep、Uncertain、Strong Reject。默认保留DINO，只有在SAM3提供足够强的反证时才删除；Uncertain不直接删除，避免第二教师把DINO真阳性误伤。</w:t>
      </w:r>
    </w:p>
    <w:p w14:paraId="18E6779B">
      <w:pPr>
        <w:widowControl/>
        <w:spacing w:before="80" w:after="80"/>
        <w:jc w:val="center"/>
      </w:pPr>
      <w:r>
        <w:rPr>
          <w:rFonts w:ascii="Times New Roman" w:hAnsi="Times New Roman" w:eastAsia="Noto Sans CJK SC"/>
          <w:b/>
          <w:sz w:val="18"/>
        </w:rPr>
        <w:t>表5-3  第二教师三档审核规则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1B8C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shd w:val="clear" w:color="auto" w:fill="D9EAF7"/>
            <w:tcMar>
              <w:top w:w="110" w:type="dxa"/>
              <w:left w:w="100" w:type="dxa"/>
              <w:bottom w:w="110" w:type="dxa"/>
              <w:right w:w="100" w:type="dxa"/>
            </w:tcMar>
            <w:vAlign w:val="center"/>
          </w:tcPr>
          <w:p w14:paraId="5E16C9B3">
            <w:pPr>
              <w:spacing w:after="0" w:line="240" w:lineRule="auto"/>
              <w:jc w:val="center"/>
            </w:pPr>
            <w:r>
              <w:rPr>
                <w:rFonts w:ascii="Times New Roman" w:hAnsi="Times New Roman" w:eastAsia="Noto Sans CJK SC"/>
                <w:b/>
                <w:sz w:val="18"/>
              </w:rPr>
              <w:t>状态</w:t>
            </w:r>
          </w:p>
        </w:tc>
        <w:tc>
          <w:tcPr>
            <w:tcW w:w="4535" w:type="dxa"/>
            <w:shd w:val="clear" w:color="auto" w:fill="D9EAF7"/>
            <w:tcMar>
              <w:top w:w="110" w:type="dxa"/>
              <w:left w:w="100" w:type="dxa"/>
              <w:bottom w:w="110" w:type="dxa"/>
              <w:right w:w="100" w:type="dxa"/>
            </w:tcMar>
            <w:vAlign w:val="center"/>
          </w:tcPr>
          <w:p w14:paraId="63FC2EF3">
            <w:pPr>
              <w:spacing w:after="0" w:line="240" w:lineRule="auto"/>
              <w:jc w:val="center"/>
            </w:pPr>
            <w:r>
              <w:rPr>
                <w:rFonts w:ascii="Times New Roman" w:hAnsi="Times New Roman" w:eastAsia="Noto Sans CJK SC"/>
                <w:b/>
                <w:sz w:val="18"/>
              </w:rPr>
              <w:t>判定逻辑</w:t>
            </w:r>
          </w:p>
        </w:tc>
        <w:tc>
          <w:tcPr>
            <w:tcW w:w="2891" w:type="dxa"/>
            <w:shd w:val="clear" w:color="auto" w:fill="D9EAF7"/>
            <w:tcMar>
              <w:top w:w="110" w:type="dxa"/>
              <w:left w:w="100" w:type="dxa"/>
              <w:bottom w:w="110" w:type="dxa"/>
              <w:right w:w="100" w:type="dxa"/>
            </w:tcMar>
            <w:vAlign w:val="center"/>
          </w:tcPr>
          <w:p w14:paraId="600502EE">
            <w:pPr>
              <w:spacing w:after="0" w:line="240" w:lineRule="auto"/>
              <w:jc w:val="center"/>
            </w:pPr>
            <w:r>
              <w:rPr>
                <w:rFonts w:ascii="Times New Roman" w:hAnsi="Times New Roman" w:eastAsia="Noto Sans CJK SC"/>
                <w:b/>
                <w:sz w:val="18"/>
              </w:rPr>
              <w:t>标签动作</w:t>
            </w:r>
          </w:p>
        </w:tc>
      </w:tr>
      <w:tr w14:paraId="7438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0181FF70">
            <w:pPr>
              <w:spacing w:after="0" w:line="276" w:lineRule="auto"/>
              <w:jc w:val="center"/>
            </w:pPr>
            <w:r>
              <w:rPr>
                <w:rFonts w:ascii="Times New Roman" w:hAnsi="Times New Roman" w:eastAsia="Noto Serif CJK SC"/>
                <w:sz w:val="18"/>
              </w:rPr>
              <w:t>Strong Keep</w:t>
            </w:r>
          </w:p>
        </w:tc>
        <w:tc>
          <w:tcPr>
            <w:tcW w:w="4535" w:type="dxa"/>
            <w:tcMar>
              <w:top w:w="90" w:type="dxa"/>
              <w:left w:w="100" w:type="dxa"/>
              <w:bottom w:w="90" w:type="dxa"/>
              <w:right w:w="100" w:type="dxa"/>
            </w:tcMar>
            <w:vAlign w:val="center"/>
          </w:tcPr>
          <w:p w14:paraId="18F53FAE">
            <w:pPr>
              <w:spacing w:after="0" w:line="276" w:lineRule="auto"/>
              <w:jc w:val="left"/>
            </w:pPr>
            <w:r>
              <w:rPr>
                <w:rFonts w:ascii="Times New Roman" w:hAnsi="Times New Roman" w:eastAsia="Noto Serif CJK SC"/>
                <w:sz w:val="18"/>
              </w:rPr>
              <w:t>DINO框与SAM3语义/掩膜证据一致</w:t>
            </w:r>
          </w:p>
        </w:tc>
        <w:tc>
          <w:tcPr>
            <w:tcW w:w="2891" w:type="dxa"/>
            <w:tcMar>
              <w:top w:w="90" w:type="dxa"/>
              <w:left w:w="100" w:type="dxa"/>
              <w:bottom w:w="90" w:type="dxa"/>
              <w:right w:w="100" w:type="dxa"/>
            </w:tcMar>
            <w:vAlign w:val="center"/>
          </w:tcPr>
          <w:p w14:paraId="05C3E111">
            <w:pPr>
              <w:spacing w:after="0" w:line="276" w:lineRule="auto"/>
              <w:jc w:val="left"/>
            </w:pPr>
            <w:r>
              <w:rPr>
                <w:rFonts w:ascii="Times New Roman" w:hAnsi="Times New Roman" w:eastAsia="Noto Serif CJK SC"/>
                <w:sz w:val="18"/>
              </w:rPr>
              <w:t>保留DINO原框</w:t>
            </w:r>
          </w:p>
        </w:tc>
      </w:tr>
      <w:tr w14:paraId="5A83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2DD40BB8">
            <w:pPr>
              <w:spacing w:after="0" w:line="276" w:lineRule="auto"/>
              <w:jc w:val="center"/>
            </w:pPr>
            <w:r>
              <w:rPr>
                <w:rFonts w:ascii="Times New Roman" w:hAnsi="Times New Roman" w:eastAsia="Noto Serif CJK SC"/>
                <w:sz w:val="18"/>
              </w:rPr>
              <w:t>Uncertain</w:t>
            </w:r>
          </w:p>
        </w:tc>
        <w:tc>
          <w:tcPr>
            <w:tcW w:w="4535" w:type="dxa"/>
            <w:tcMar>
              <w:top w:w="90" w:type="dxa"/>
              <w:left w:w="100" w:type="dxa"/>
              <w:bottom w:w="90" w:type="dxa"/>
              <w:right w:w="100" w:type="dxa"/>
            </w:tcMar>
            <w:vAlign w:val="center"/>
          </w:tcPr>
          <w:p w14:paraId="64076907">
            <w:pPr>
              <w:spacing w:after="0" w:line="276" w:lineRule="auto"/>
              <w:jc w:val="left"/>
            </w:pPr>
            <w:r>
              <w:rPr>
                <w:rFonts w:ascii="Times New Roman" w:hAnsi="Times New Roman" w:eastAsia="Noto Serif CJK SC"/>
                <w:sz w:val="18"/>
              </w:rPr>
              <w:t>SAM3证据弱、遮挡/小目标/边界不确定</w:t>
            </w:r>
          </w:p>
        </w:tc>
        <w:tc>
          <w:tcPr>
            <w:tcW w:w="2891" w:type="dxa"/>
            <w:tcMar>
              <w:top w:w="90" w:type="dxa"/>
              <w:left w:w="100" w:type="dxa"/>
              <w:bottom w:w="90" w:type="dxa"/>
              <w:right w:w="100" w:type="dxa"/>
            </w:tcMar>
            <w:vAlign w:val="center"/>
          </w:tcPr>
          <w:p w14:paraId="629B268B">
            <w:pPr>
              <w:spacing w:after="0" w:line="276" w:lineRule="auto"/>
              <w:jc w:val="left"/>
            </w:pPr>
            <w:r>
              <w:rPr>
                <w:rFonts w:ascii="Times New Roman" w:hAnsi="Times New Roman" w:eastAsia="Noto Serif CJK SC"/>
                <w:sz w:val="18"/>
              </w:rPr>
              <w:t>保留或降权，不直接删除</w:t>
            </w:r>
          </w:p>
        </w:tc>
      </w:tr>
      <w:tr w14:paraId="145A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3F3D6D88">
            <w:pPr>
              <w:spacing w:after="0" w:line="276" w:lineRule="auto"/>
              <w:jc w:val="center"/>
            </w:pPr>
            <w:r>
              <w:rPr>
                <w:rFonts w:ascii="Times New Roman" w:hAnsi="Times New Roman" w:eastAsia="Noto Serif CJK SC"/>
                <w:sz w:val="18"/>
              </w:rPr>
              <w:t>Strong Reject</w:t>
            </w:r>
          </w:p>
        </w:tc>
        <w:tc>
          <w:tcPr>
            <w:tcW w:w="4535" w:type="dxa"/>
            <w:tcMar>
              <w:top w:w="90" w:type="dxa"/>
              <w:left w:w="100" w:type="dxa"/>
              <w:bottom w:w="90" w:type="dxa"/>
              <w:right w:w="100" w:type="dxa"/>
            </w:tcMar>
            <w:vAlign w:val="center"/>
          </w:tcPr>
          <w:p w14:paraId="28FAE7AF">
            <w:pPr>
              <w:spacing w:after="0" w:line="276" w:lineRule="auto"/>
              <w:jc w:val="left"/>
            </w:pPr>
            <w:r>
              <w:rPr>
                <w:rFonts w:ascii="Times New Roman" w:hAnsi="Times New Roman" w:eastAsia="Noto Serif CJK SC"/>
                <w:sz w:val="18"/>
              </w:rPr>
              <w:t>SAM3全局有稳定fire证据，但当前DINO框内支持极低，且多项几何证据一致</w:t>
            </w:r>
          </w:p>
        </w:tc>
        <w:tc>
          <w:tcPr>
            <w:tcW w:w="2891" w:type="dxa"/>
            <w:tcMar>
              <w:top w:w="90" w:type="dxa"/>
              <w:left w:w="100" w:type="dxa"/>
              <w:bottom w:w="90" w:type="dxa"/>
              <w:right w:w="100" w:type="dxa"/>
            </w:tcMar>
            <w:vAlign w:val="center"/>
          </w:tcPr>
          <w:p w14:paraId="72448428">
            <w:pPr>
              <w:spacing w:after="0" w:line="276" w:lineRule="auto"/>
              <w:jc w:val="left"/>
            </w:pPr>
            <w:r>
              <w:rPr>
                <w:rFonts w:ascii="Times New Roman" w:hAnsi="Times New Roman" w:eastAsia="Noto Serif CJK SC"/>
                <w:sz w:val="18"/>
              </w:rPr>
              <w:t>删除；记录rejection_reason</w:t>
            </w:r>
          </w:p>
        </w:tc>
      </w:tr>
    </w:tbl>
    <w:p w14:paraId="120D2A20">
      <w:pPr>
        <w:widowControl/>
        <w:spacing w:after="20"/>
      </w:pPr>
    </w:p>
    <w:p w14:paraId="4D60E844">
      <w:pPr>
        <w:widowControl/>
        <w:spacing w:before="0" w:after="100" w:line="360" w:lineRule="auto"/>
        <w:ind w:firstLine="420"/>
        <w:jc w:val="both"/>
      </w:pPr>
      <w:r>
        <w:rPr>
          <w:rFonts w:ascii="Times New Roman" w:hAnsi="Times New Roman" w:eastAsia="Noto Serif CJK SC"/>
          <w:sz w:val="22"/>
        </w:rPr>
        <w:t>Verifier阈值不在Independent Test上调优。建议在Development/Validation上设置“宽松—基准—严格”三档，比较被删除标签的人工抽检Precision、YOLO效用和调用成本。正式通过门槛的实际改善幅度以E1多seed波动作为基准：当候选增益未超过训练噪声或固定最小实际差异（建议至少0.5个百分点）时，视为没有足够证据支持升级。</w:t>
      </w:r>
    </w:p>
    <w:p w14:paraId="1878EFA6">
      <w:pPr>
        <w:pStyle w:val="4"/>
        <w:keepNext/>
        <w:widowControl/>
        <w:spacing w:before="140" w:after="60" w:line="276" w:lineRule="auto"/>
      </w:pPr>
      <w:r>
        <w:rPr>
          <w:rFonts w:ascii="Times New Roman" w:hAnsi="Times New Roman" w:eastAsia="Noto Sans CJK SC"/>
          <w:b/>
          <w:sz w:val="26"/>
        </w:rPr>
        <w:t>5.6 Append与Box Refinement的安全门</w:t>
      </w:r>
    </w:p>
    <w:p w14:paraId="644DAE34">
      <w:pPr>
        <w:widowControl/>
        <w:spacing w:before="0" w:after="100" w:line="360" w:lineRule="auto"/>
        <w:ind w:firstLine="420"/>
        <w:jc w:val="both"/>
      </w:pPr>
      <w:r>
        <w:rPr>
          <w:rFonts w:ascii="Times New Roman" w:hAnsi="Times New Roman" w:eastAsia="Noto Serif CJK SC"/>
          <w:sz w:val="22"/>
        </w:rPr>
        <w:t>SAM3新增框不得直接进入全量标签。先输出append_candidates并人工抽检，统计真正DINO漏检fire的候选精度、与现有框的重复率、目标粒度一致性和小目标占比。只有候选Precision达到预设高门槛（建议≥90%）且在Development/Validation产生实际效用时，才允许全量追加。</w:t>
      </w:r>
    </w:p>
    <w:p w14:paraId="461A2C03">
      <w:pPr>
        <w:widowControl/>
        <w:spacing w:before="0" w:after="100" w:line="360" w:lineRule="auto"/>
        <w:ind w:firstLine="420"/>
        <w:jc w:val="both"/>
      </w:pPr>
      <w:r>
        <w:rPr>
          <w:rFonts w:ascii="Times New Roman" w:hAnsi="Times New Roman" w:eastAsia="Noto Serif CJK SC"/>
          <w:sz w:val="22"/>
        </w:rPr>
        <w:t>对于Box Refinement，当前Pilot已出现显著退化，因此其正式研究价值主要是验证适用边界。除非修改后的框生成规范在小样本上同时改善定位质量与YOLO效用，否则不进行全量调用；DINO继续拥有最终检测框定位权。</w:t>
      </w:r>
    </w:p>
    <w:p w14:paraId="3139DBB5">
      <w:pPr>
        <w:pStyle w:val="4"/>
        <w:keepNext/>
        <w:widowControl/>
        <w:spacing w:before="140" w:after="60" w:line="276" w:lineRule="auto"/>
      </w:pPr>
      <w:r>
        <w:rPr>
          <w:rFonts w:ascii="Times New Roman" w:hAnsi="Times New Roman" w:eastAsia="Noto Sans CJK SC"/>
          <w:b/>
          <w:sz w:val="26"/>
        </w:rPr>
        <w:t>5.7 统计分析与稳健性设计</w:t>
      </w:r>
    </w:p>
    <w:p w14:paraId="53DE37C6">
      <w:pPr>
        <w:widowControl/>
        <w:spacing w:before="0" w:after="100" w:line="360" w:lineRule="auto"/>
        <w:ind w:firstLine="420"/>
        <w:jc w:val="both"/>
      </w:pPr>
      <w:r>
        <w:rPr>
          <w:rFonts w:ascii="Times New Roman" w:hAnsi="Times New Roman" w:eastAsia="Noto Serif CJK SC"/>
          <w:sz w:val="22"/>
        </w:rPr>
        <w:t>E0、E1和最终进入E7的候选至少进行3个随机种子复现，报告均值、标准差及关键差值；对Final Holdout可使用bootstrap 95%置信区间。候选门槛阶段允许单次快速筛选，但进入Pareto前沿或距离门槛很近的方案需补充复现。</w:t>
      </w:r>
    </w:p>
    <w:p w14:paraId="3EE76EF9">
      <w:pPr>
        <w:widowControl/>
        <w:spacing w:before="0" w:after="100" w:line="360" w:lineRule="auto"/>
        <w:ind w:firstLine="420"/>
        <w:jc w:val="both"/>
      </w:pPr>
      <w:r>
        <w:rPr>
          <w:rFonts w:ascii="Times New Roman" w:hAnsi="Times New Roman" w:eastAsia="Noto Serif CJK SC"/>
          <w:sz w:val="22"/>
        </w:rPr>
        <w:t>结果按fire/smoke、small/medium/large、真实/AIGC来源、关键场景进行分层，以判断总体指标变化是否由某一子群驱动。对于Recall改善但Precision下降的方案，不以单指标判断“好/坏”，而在最终成本—性能平面上讨论其适用情景。</w:t>
      </w:r>
    </w:p>
    <w:p w14:paraId="7F4B8D24">
      <w:pPr>
        <w:pStyle w:val="3"/>
        <w:keepNext/>
        <w:widowControl/>
        <w:spacing w:before="200" w:after="100" w:line="276" w:lineRule="auto"/>
      </w:pPr>
      <w:r>
        <w:rPr>
          <w:rFonts w:ascii="Times New Roman" w:hAnsi="Times New Roman" w:eastAsia="Noto Sans CJK SC"/>
          <w:b/>
          <w:sz w:val="32"/>
        </w:rPr>
        <w:t>六、前期实验基础与阶段性结论</w:t>
      </w:r>
    </w:p>
    <w:p w14:paraId="22B90766">
      <w:pPr>
        <w:pStyle w:val="4"/>
        <w:keepNext/>
        <w:widowControl/>
        <w:spacing w:before="140" w:after="60" w:line="276" w:lineRule="auto"/>
      </w:pPr>
      <w:r>
        <w:rPr>
          <w:rFonts w:ascii="Times New Roman" w:hAnsi="Times New Roman" w:eastAsia="Noto Sans CJK SC"/>
          <w:b/>
          <w:sz w:val="26"/>
        </w:rPr>
        <w:t>6.1 已完成工作</w:t>
      </w:r>
    </w:p>
    <w:p w14:paraId="5CEA0DB5">
      <w:pPr>
        <w:widowControl/>
        <w:spacing w:before="0" w:after="100" w:line="360" w:lineRule="auto"/>
        <w:ind w:firstLine="420"/>
        <w:jc w:val="both"/>
      </w:pPr>
      <w:r>
        <w:rPr>
          <w:rFonts w:ascii="Times New Roman" w:hAnsi="Times New Roman" w:eastAsia="Noto Serif CJK SC"/>
          <w:sz w:val="22"/>
        </w:rPr>
        <w:t>目前已完成Grounding DINO冷启动、统一YOLO训练验证、teacher confidence curriculum、SAM3局部筛选/补框Pilot，以及2026年8月17日针对SAM3第二教师角色的三组更严格消融。已有工程脚本支持伪标签生成、审核、可视化、per-image审计、事件日志和标签版本输出，为正式研究提供了可执行基础。</w:t>
      </w:r>
    </w:p>
    <w:p w14:paraId="64E66604">
      <w:pPr>
        <w:pStyle w:val="4"/>
        <w:keepNext/>
        <w:widowControl/>
        <w:spacing w:before="140" w:after="60" w:line="276" w:lineRule="auto"/>
      </w:pPr>
      <w:r>
        <w:rPr>
          <w:rFonts w:ascii="Times New Roman" w:hAnsi="Times New Roman" w:eastAsia="Noto Sans CJK SC"/>
          <w:b/>
          <w:sz w:val="26"/>
        </w:rPr>
        <w:t>6.2 早期Pilot结果（历史协议，方向性证据）</w:t>
      </w:r>
    </w:p>
    <w:p w14:paraId="1C3ED940">
      <w:pPr>
        <w:widowControl/>
        <w:spacing w:before="80" w:after="80"/>
        <w:jc w:val="center"/>
      </w:pPr>
      <w:r>
        <w:rPr>
          <w:rFonts w:ascii="Times New Roman" w:hAnsi="Times New Roman" w:eastAsia="Noto Sans CJK SC"/>
          <w:b/>
          <w:sz w:val="18"/>
        </w:rPr>
        <w:t>表6-1  早期Pilot独立测试结果（保留原实验口径）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7"/>
        <w:gridCol w:w="1327"/>
        <w:gridCol w:w="1327"/>
        <w:gridCol w:w="1327"/>
        <w:gridCol w:w="1327"/>
        <w:gridCol w:w="1327"/>
        <w:gridCol w:w="1327"/>
      </w:tblGrid>
      <w:tr w14:paraId="4141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24" w:type="dxa"/>
            <w:shd w:val="clear" w:color="auto" w:fill="D9EAF7"/>
            <w:tcMar>
              <w:top w:w="110" w:type="dxa"/>
              <w:left w:w="100" w:type="dxa"/>
              <w:bottom w:w="110" w:type="dxa"/>
              <w:right w:w="100" w:type="dxa"/>
            </w:tcMar>
            <w:vAlign w:val="center"/>
          </w:tcPr>
          <w:p w14:paraId="1B118723">
            <w:pPr>
              <w:spacing w:after="0" w:line="240" w:lineRule="auto"/>
              <w:jc w:val="center"/>
            </w:pPr>
            <w:r>
              <w:rPr>
                <w:rFonts w:ascii="Times New Roman" w:hAnsi="Times New Roman" w:eastAsia="Noto Sans CJK SC"/>
                <w:b/>
                <w:sz w:val="16"/>
              </w:rPr>
              <w:t>实验</w:t>
            </w:r>
          </w:p>
        </w:tc>
        <w:tc>
          <w:tcPr>
            <w:tcW w:w="2324" w:type="dxa"/>
            <w:shd w:val="clear" w:color="auto" w:fill="D9EAF7"/>
            <w:tcMar>
              <w:top w:w="110" w:type="dxa"/>
              <w:left w:w="100" w:type="dxa"/>
              <w:bottom w:w="110" w:type="dxa"/>
              <w:right w:w="100" w:type="dxa"/>
            </w:tcMar>
            <w:vAlign w:val="center"/>
          </w:tcPr>
          <w:p w14:paraId="3D8FDD70">
            <w:pPr>
              <w:spacing w:after="0" w:line="240" w:lineRule="auto"/>
              <w:jc w:val="center"/>
            </w:pPr>
            <w:r>
              <w:rPr>
                <w:rFonts w:ascii="Times New Roman" w:hAnsi="Times New Roman" w:eastAsia="Noto Sans CJK SC"/>
                <w:b/>
                <w:sz w:val="16"/>
              </w:rPr>
              <w:t>方案</w:t>
            </w:r>
          </w:p>
        </w:tc>
        <w:tc>
          <w:tcPr>
            <w:tcW w:w="907" w:type="dxa"/>
            <w:shd w:val="clear" w:color="auto" w:fill="D9EAF7"/>
            <w:tcMar>
              <w:top w:w="110" w:type="dxa"/>
              <w:left w:w="100" w:type="dxa"/>
              <w:bottom w:w="110" w:type="dxa"/>
              <w:right w:w="100" w:type="dxa"/>
            </w:tcMar>
            <w:vAlign w:val="center"/>
          </w:tcPr>
          <w:p w14:paraId="3E127163">
            <w:pPr>
              <w:spacing w:after="0" w:line="240" w:lineRule="auto"/>
              <w:jc w:val="center"/>
            </w:pPr>
            <w:r>
              <w:rPr>
                <w:rFonts w:ascii="Times New Roman" w:hAnsi="Times New Roman" w:eastAsia="Noto Sans CJK SC"/>
                <w:b/>
                <w:sz w:val="16"/>
              </w:rPr>
              <w:t>Precision</w:t>
            </w:r>
          </w:p>
        </w:tc>
        <w:tc>
          <w:tcPr>
            <w:tcW w:w="850" w:type="dxa"/>
            <w:shd w:val="clear" w:color="auto" w:fill="D9EAF7"/>
            <w:tcMar>
              <w:top w:w="110" w:type="dxa"/>
              <w:left w:w="100" w:type="dxa"/>
              <w:bottom w:w="110" w:type="dxa"/>
              <w:right w:w="100" w:type="dxa"/>
            </w:tcMar>
            <w:vAlign w:val="center"/>
          </w:tcPr>
          <w:p w14:paraId="2C7977F6">
            <w:pPr>
              <w:spacing w:after="0" w:line="240" w:lineRule="auto"/>
              <w:jc w:val="center"/>
            </w:pPr>
            <w:r>
              <w:rPr>
                <w:rFonts w:ascii="Times New Roman" w:hAnsi="Times New Roman" w:eastAsia="Noto Sans CJK SC"/>
                <w:b/>
                <w:sz w:val="16"/>
              </w:rPr>
              <w:t>Recall</w:t>
            </w:r>
          </w:p>
        </w:tc>
        <w:tc>
          <w:tcPr>
            <w:tcW w:w="907" w:type="dxa"/>
            <w:shd w:val="clear" w:color="auto" w:fill="D9EAF7"/>
            <w:tcMar>
              <w:top w:w="110" w:type="dxa"/>
              <w:left w:w="100" w:type="dxa"/>
              <w:bottom w:w="110" w:type="dxa"/>
              <w:right w:w="100" w:type="dxa"/>
            </w:tcMar>
            <w:vAlign w:val="center"/>
          </w:tcPr>
          <w:p w14:paraId="36AADFAD">
            <w:pPr>
              <w:spacing w:after="0" w:line="240" w:lineRule="auto"/>
              <w:jc w:val="center"/>
            </w:pPr>
            <w:r>
              <w:rPr>
                <w:rFonts w:ascii="Times New Roman" w:hAnsi="Times New Roman" w:eastAsia="Noto Sans CJK SC"/>
                <w:b/>
                <w:sz w:val="16"/>
              </w:rPr>
              <w:t>mAP@0.5</w:t>
            </w:r>
          </w:p>
        </w:tc>
        <w:tc>
          <w:tcPr>
            <w:tcW w:w="1134" w:type="dxa"/>
            <w:shd w:val="clear" w:color="auto" w:fill="D9EAF7"/>
            <w:tcMar>
              <w:top w:w="110" w:type="dxa"/>
              <w:left w:w="100" w:type="dxa"/>
              <w:bottom w:w="110" w:type="dxa"/>
              <w:right w:w="100" w:type="dxa"/>
            </w:tcMar>
            <w:vAlign w:val="center"/>
          </w:tcPr>
          <w:p w14:paraId="2DF2C2F6">
            <w:pPr>
              <w:spacing w:after="0" w:line="240" w:lineRule="auto"/>
              <w:jc w:val="center"/>
            </w:pPr>
            <w:r>
              <w:rPr>
                <w:rFonts w:ascii="Times New Roman" w:hAnsi="Times New Roman" w:eastAsia="Noto Sans CJK SC"/>
                <w:b/>
                <w:sz w:val="16"/>
              </w:rPr>
              <w:t>mAP@0.5:0.95</w:t>
            </w:r>
          </w:p>
        </w:tc>
        <w:tc>
          <w:tcPr>
            <w:tcW w:w="2268" w:type="dxa"/>
            <w:shd w:val="clear" w:color="auto" w:fill="D9EAF7"/>
            <w:tcMar>
              <w:top w:w="110" w:type="dxa"/>
              <w:left w:w="100" w:type="dxa"/>
              <w:bottom w:w="110" w:type="dxa"/>
              <w:right w:w="100" w:type="dxa"/>
            </w:tcMar>
            <w:vAlign w:val="center"/>
          </w:tcPr>
          <w:p w14:paraId="1C78EC05">
            <w:pPr>
              <w:spacing w:after="0" w:line="240" w:lineRule="auto"/>
              <w:jc w:val="center"/>
            </w:pPr>
            <w:r>
              <w:rPr>
                <w:rFonts w:ascii="Times New Roman" w:hAnsi="Times New Roman" w:eastAsia="Noto Sans CJK SC"/>
                <w:b/>
                <w:sz w:val="16"/>
              </w:rPr>
              <w:t>阶段结论</w:t>
            </w:r>
          </w:p>
        </w:tc>
      </w:tr>
      <w:tr w14:paraId="7798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Mar>
              <w:top w:w="90" w:type="dxa"/>
              <w:left w:w="100" w:type="dxa"/>
              <w:bottom w:w="90" w:type="dxa"/>
              <w:right w:w="100" w:type="dxa"/>
            </w:tcMar>
            <w:vAlign w:val="center"/>
          </w:tcPr>
          <w:p w14:paraId="55AA3876">
            <w:pPr>
              <w:spacing w:after="0" w:line="276" w:lineRule="auto"/>
              <w:jc w:val="center"/>
            </w:pPr>
            <w:r>
              <w:rPr>
                <w:rFonts w:ascii="Times New Roman" w:hAnsi="Times New Roman" w:eastAsia="Noto Serif CJK SC"/>
                <w:sz w:val="16"/>
              </w:rPr>
              <w:t>Exp0</w:t>
            </w:r>
          </w:p>
        </w:tc>
        <w:tc>
          <w:tcPr>
            <w:tcW w:w="2324" w:type="dxa"/>
            <w:tcMar>
              <w:top w:w="90" w:type="dxa"/>
              <w:left w:w="100" w:type="dxa"/>
              <w:bottom w:w="90" w:type="dxa"/>
              <w:right w:w="100" w:type="dxa"/>
            </w:tcMar>
            <w:vAlign w:val="center"/>
          </w:tcPr>
          <w:p w14:paraId="5891FD11">
            <w:pPr>
              <w:spacing w:after="0" w:line="276" w:lineRule="auto"/>
              <w:jc w:val="left"/>
            </w:pPr>
            <w:r>
              <w:rPr>
                <w:rFonts w:ascii="Times New Roman" w:hAnsi="Times New Roman" w:eastAsia="Noto Serif CJK SC"/>
                <w:sz w:val="16"/>
              </w:rPr>
              <w:t>人工GT baseline</w:t>
            </w:r>
          </w:p>
        </w:tc>
        <w:tc>
          <w:tcPr>
            <w:tcW w:w="907" w:type="dxa"/>
            <w:tcMar>
              <w:top w:w="90" w:type="dxa"/>
              <w:left w:w="100" w:type="dxa"/>
              <w:bottom w:w="90" w:type="dxa"/>
              <w:right w:w="100" w:type="dxa"/>
            </w:tcMar>
            <w:vAlign w:val="center"/>
          </w:tcPr>
          <w:p w14:paraId="07409D8B">
            <w:pPr>
              <w:spacing w:after="0" w:line="276" w:lineRule="auto"/>
              <w:jc w:val="center"/>
            </w:pPr>
            <w:r>
              <w:rPr>
                <w:rFonts w:ascii="Times New Roman" w:hAnsi="Times New Roman" w:eastAsia="Noto Serif CJK SC"/>
                <w:sz w:val="16"/>
              </w:rPr>
              <w:t>0.8205</w:t>
            </w:r>
          </w:p>
        </w:tc>
        <w:tc>
          <w:tcPr>
            <w:tcW w:w="850" w:type="dxa"/>
            <w:tcMar>
              <w:top w:w="90" w:type="dxa"/>
              <w:left w:w="100" w:type="dxa"/>
              <w:bottom w:w="90" w:type="dxa"/>
              <w:right w:w="100" w:type="dxa"/>
            </w:tcMar>
            <w:vAlign w:val="center"/>
          </w:tcPr>
          <w:p w14:paraId="6DE91E01">
            <w:pPr>
              <w:spacing w:after="0" w:line="276" w:lineRule="auto"/>
              <w:jc w:val="center"/>
            </w:pPr>
            <w:r>
              <w:rPr>
                <w:rFonts w:ascii="Times New Roman" w:hAnsi="Times New Roman" w:eastAsia="Noto Serif CJK SC"/>
                <w:sz w:val="16"/>
              </w:rPr>
              <w:t>0.6717</w:t>
            </w:r>
          </w:p>
        </w:tc>
        <w:tc>
          <w:tcPr>
            <w:tcW w:w="907" w:type="dxa"/>
            <w:tcMar>
              <w:top w:w="90" w:type="dxa"/>
              <w:left w:w="100" w:type="dxa"/>
              <w:bottom w:w="90" w:type="dxa"/>
              <w:right w:w="100" w:type="dxa"/>
            </w:tcMar>
            <w:vAlign w:val="center"/>
          </w:tcPr>
          <w:p w14:paraId="45633532">
            <w:pPr>
              <w:spacing w:after="0" w:line="276" w:lineRule="auto"/>
              <w:jc w:val="center"/>
            </w:pPr>
            <w:r>
              <w:rPr>
                <w:rFonts w:ascii="Times New Roman" w:hAnsi="Times New Roman" w:eastAsia="Noto Serif CJK SC"/>
                <w:sz w:val="16"/>
              </w:rPr>
              <w:t>0.7430</w:t>
            </w:r>
          </w:p>
        </w:tc>
        <w:tc>
          <w:tcPr>
            <w:tcW w:w="1134" w:type="dxa"/>
            <w:tcMar>
              <w:top w:w="90" w:type="dxa"/>
              <w:left w:w="100" w:type="dxa"/>
              <w:bottom w:w="90" w:type="dxa"/>
              <w:right w:w="100" w:type="dxa"/>
            </w:tcMar>
            <w:vAlign w:val="center"/>
          </w:tcPr>
          <w:p w14:paraId="38A60BC1">
            <w:pPr>
              <w:spacing w:after="0" w:line="276" w:lineRule="auto"/>
              <w:jc w:val="center"/>
            </w:pPr>
            <w:r>
              <w:rPr>
                <w:rFonts w:ascii="Times New Roman" w:hAnsi="Times New Roman" w:eastAsia="Noto Serif CJK SC"/>
                <w:sz w:val="16"/>
              </w:rPr>
              <w:t>0.5377</w:t>
            </w:r>
          </w:p>
        </w:tc>
        <w:tc>
          <w:tcPr>
            <w:tcW w:w="2268" w:type="dxa"/>
            <w:tcMar>
              <w:top w:w="90" w:type="dxa"/>
              <w:left w:w="100" w:type="dxa"/>
              <w:bottom w:w="90" w:type="dxa"/>
              <w:right w:w="100" w:type="dxa"/>
            </w:tcMar>
            <w:vAlign w:val="center"/>
          </w:tcPr>
          <w:p w14:paraId="302C8965">
            <w:pPr>
              <w:spacing w:after="0" w:line="276" w:lineRule="auto"/>
              <w:jc w:val="left"/>
            </w:pPr>
            <w:r>
              <w:rPr>
                <w:rFonts w:ascii="Times New Roman" w:hAnsi="Times New Roman" w:eastAsia="Noto Serif CJK SC"/>
                <w:sz w:val="16"/>
              </w:rPr>
              <w:t>参考上界</w:t>
            </w:r>
          </w:p>
        </w:tc>
      </w:tr>
      <w:tr w14:paraId="2FE7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Mar>
              <w:top w:w="90" w:type="dxa"/>
              <w:left w:w="100" w:type="dxa"/>
              <w:bottom w:w="90" w:type="dxa"/>
              <w:right w:w="100" w:type="dxa"/>
            </w:tcMar>
            <w:vAlign w:val="center"/>
          </w:tcPr>
          <w:p w14:paraId="455691D6">
            <w:pPr>
              <w:spacing w:after="0" w:line="276" w:lineRule="auto"/>
              <w:jc w:val="center"/>
            </w:pPr>
            <w:r>
              <w:rPr>
                <w:rFonts w:ascii="Times New Roman" w:hAnsi="Times New Roman" w:eastAsia="Noto Serif CJK SC"/>
                <w:sz w:val="16"/>
              </w:rPr>
              <w:t>Exp1</w:t>
            </w:r>
          </w:p>
        </w:tc>
        <w:tc>
          <w:tcPr>
            <w:tcW w:w="2324" w:type="dxa"/>
            <w:tcMar>
              <w:top w:w="90" w:type="dxa"/>
              <w:left w:w="100" w:type="dxa"/>
              <w:bottom w:w="90" w:type="dxa"/>
              <w:right w:w="100" w:type="dxa"/>
            </w:tcMar>
            <w:vAlign w:val="center"/>
          </w:tcPr>
          <w:p w14:paraId="2F5F61DD">
            <w:pPr>
              <w:spacing w:after="0" w:line="276" w:lineRule="auto"/>
              <w:jc w:val="left"/>
            </w:pPr>
            <w:r>
              <w:rPr>
                <w:rFonts w:ascii="Times New Roman" w:hAnsi="Times New Roman" w:eastAsia="Noto Serif CJK SC"/>
                <w:sz w:val="16"/>
              </w:rPr>
              <w:t>Grounding DINO冷启动</w:t>
            </w:r>
          </w:p>
        </w:tc>
        <w:tc>
          <w:tcPr>
            <w:tcW w:w="907" w:type="dxa"/>
            <w:tcMar>
              <w:top w:w="90" w:type="dxa"/>
              <w:left w:w="100" w:type="dxa"/>
              <w:bottom w:w="90" w:type="dxa"/>
              <w:right w:w="100" w:type="dxa"/>
            </w:tcMar>
            <w:vAlign w:val="center"/>
          </w:tcPr>
          <w:p w14:paraId="6D464D95">
            <w:pPr>
              <w:spacing w:after="0" w:line="276" w:lineRule="auto"/>
              <w:jc w:val="center"/>
            </w:pPr>
            <w:r>
              <w:rPr>
                <w:rFonts w:ascii="Times New Roman" w:hAnsi="Times New Roman" w:eastAsia="Noto Serif CJK SC"/>
                <w:sz w:val="16"/>
              </w:rPr>
              <w:t>0.7635</w:t>
            </w:r>
          </w:p>
        </w:tc>
        <w:tc>
          <w:tcPr>
            <w:tcW w:w="850" w:type="dxa"/>
            <w:tcMar>
              <w:top w:w="90" w:type="dxa"/>
              <w:left w:w="100" w:type="dxa"/>
              <w:bottom w:w="90" w:type="dxa"/>
              <w:right w:w="100" w:type="dxa"/>
            </w:tcMar>
            <w:vAlign w:val="center"/>
          </w:tcPr>
          <w:p w14:paraId="7603803B">
            <w:pPr>
              <w:spacing w:after="0" w:line="276" w:lineRule="auto"/>
              <w:jc w:val="center"/>
            </w:pPr>
            <w:r>
              <w:rPr>
                <w:rFonts w:ascii="Times New Roman" w:hAnsi="Times New Roman" w:eastAsia="Noto Serif CJK SC"/>
                <w:sz w:val="16"/>
              </w:rPr>
              <w:t>0.6216</w:t>
            </w:r>
          </w:p>
        </w:tc>
        <w:tc>
          <w:tcPr>
            <w:tcW w:w="907" w:type="dxa"/>
            <w:tcMar>
              <w:top w:w="90" w:type="dxa"/>
              <w:left w:w="100" w:type="dxa"/>
              <w:bottom w:w="90" w:type="dxa"/>
              <w:right w:w="100" w:type="dxa"/>
            </w:tcMar>
            <w:vAlign w:val="center"/>
          </w:tcPr>
          <w:p w14:paraId="507B316A">
            <w:pPr>
              <w:spacing w:after="0" w:line="276" w:lineRule="auto"/>
              <w:jc w:val="center"/>
            </w:pPr>
            <w:r>
              <w:rPr>
                <w:rFonts w:ascii="Times New Roman" w:hAnsi="Times New Roman" w:eastAsia="Noto Serif CJK SC"/>
                <w:sz w:val="16"/>
              </w:rPr>
              <w:t>0.6647</w:t>
            </w:r>
          </w:p>
        </w:tc>
        <w:tc>
          <w:tcPr>
            <w:tcW w:w="1134" w:type="dxa"/>
            <w:tcMar>
              <w:top w:w="90" w:type="dxa"/>
              <w:left w:w="100" w:type="dxa"/>
              <w:bottom w:w="90" w:type="dxa"/>
              <w:right w:w="100" w:type="dxa"/>
            </w:tcMar>
            <w:vAlign w:val="center"/>
          </w:tcPr>
          <w:p w14:paraId="650A753D">
            <w:pPr>
              <w:spacing w:after="0" w:line="276" w:lineRule="auto"/>
              <w:jc w:val="center"/>
            </w:pPr>
            <w:r>
              <w:rPr>
                <w:rFonts w:ascii="Times New Roman" w:hAnsi="Times New Roman" w:eastAsia="Noto Serif CJK SC"/>
                <w:sz w:val="16"/>
              </w:rPr>
              <w:t>0.4623</w:t>
            </w:r>
          </w:p>
        </w:tc>
        <w:tc>
          <w:tcPr>
            <w:tcW w:w="2268" w:type="dxa"/>
            <w:tcMar>
              <w:top w:w="90" w:type="dxa"/>
              <w:left w:w="100" w:type="dxa"/>
              <w:bottom w:w="90" w:type="dxa"/>
              <w:right w:w="100" w:type="dxa"/>
            </w:tcMar>
            <w:vAlign w:val="center"/>
          </w:tcPr>
          <w:p w14:paraId="0B52A6E0">
            <w:pPr>
              <w:spacing w:after="0" w:line="276" w:lineRule="auto"/>
              <w:jc w:val="left"/>
            </w:pPr>
            <w:r>
              <w:rPr>
                <w:rFonts w:ascii="Times New Roman" w:hAnsi="Times New Roman" w:eastAsia="Noto Serif CJK SC"/>
                <w:sz w:val="16"/>
              </w:rPr>
              <w:t>当前最稳健自动基线</w:t>
            </w:r>
          </w:p>
        </w:tc>
      </w:tr>
      <w:tr w14:paraId="14FC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Mar>
              <w:top w:w="90" w:type="dxa"/>
              <w:left w:w="100" w:type="dxa"/>
              <w:bottom w:w="90" w:type="dxa"/>
              <w:right w:w="100" w:type="dxa"/>
            </w:tcMar>
            <w:vAlign w:val="center"/>
          </w:tcPr>
          <w:p w14:paraId="7AF57FC4">
            <w:pPr>
              <w:spacing w:after="0" w:line="276" w:lineRule="auto"/>
              <w:jc w:val="center"/>
            </w:pPr>
            <w:r>
              <w:rPr>
                <w:rFonts w:ascii="Times New Roman" w:hAnsi="Times New Roman" w:eastAsia="Noto Serif CJK SC"/>
                <w:sz w:val="16"/>
              </w:rPr>
              <w:t>Exp2</w:t>
            </w:r>
          </w:p>
        </w:tc>
        <w:tc>
          <w:tcPr>
            <w:tcW w:w="2324" w:type="dxa"/>
            <w:tcMar>
              <w:top w:w="90" w:type="dxa"/>
              <w:left w:w="100" w:type="dxa"/>
              <w:bottom w:w="90" w:type="dxa"/>
              <w:right w:w="100" w:type="dxa"/>
            </w:tcMar>
            <w:vAlign w:val="center"/>
          </w:tcPr>
          <w:p w14:paraId="11621ED5">
            <w:pPr>
              <w:spacing w:after="0" w:line="276" w:lineRule="auto"/>
              <w:jc w:val="left"/>
            </w:pPr>
            <w:r>
              <w:rPr>
                <w:rFonts w:ascii="Times New Roman" w:hAnsi="Times New Roman" w:eastAsia="Noto Serif CJK SC"/>
                <w:sz w:val="16"/>
              </w:rPr>
              <w:t>GD + teacher confidence curriculum</w:t>
            </w:r>
          </w:p>
        </w:tc>
        <w:tc>
          <w:tcPr>
            <w:tcW w:w="907" w:type="dxa"/>
            <w:tcMar>
              <w:top w:w="90" w:type="dxa"/>
              <w:left w:w="100" w:type="dxa"/>
              <w:bottom w:w="90" w:type="dxa"/>
              <w:right w:w="100" w:type="dxa"/>
            </w:tcMar>
            <w:vAlign w:val="center"/>
          </w:tcPr>
          <w:p w14:paraId="615E7B0E">
            <w:pPr>
              <w:spacing w:after="0" w:line="276" w:lineRule="auto"/>
              <w:jc w:val="center"/>
            </w:pPr>
            <w:r>
              <w:rPr>
                <w:rFonts w:ascii="Times New Roman" w:hAnsi="Times New Roman" w:eastAsia="Noto Serif CJK SC"/>
                <w:sz w:val="16"/>
              </w:rPr>
              <w:t>0.6963</w:t>
            </w:r>
          </w:p>
        </w:tc>
        <w:tc>
          <w:tcPr>
            <w:tcW w:w="850" w:type="dxa"/>
            <w:tcMar>
              <w:top w:w="90" w:type="dxa"/>
              <w:left w:w="100" w:type="dxa"/>
              <w:bottom w:w="90" w:type="dxa"/>
              <w:right w:w="100" w:type="dxa"/>
            </w:tcMar>
            <w:vAlign w:val="center"/>
          </w:tcPr>
          <w:p w14:paraId="281B73D4">
            <w:pPr>
              <w:spacing w:after="0" w:line="276" w:lineRule="auto"/>
              <w:jc w:val="center"/>
            </w:pPr>
            <w:r>
              <w:rPr>
                <w:rFonts w:ascii="Times New Roman" w:hAnsi="Times New Roman" w:eastAsia="Noto Serif CJK SC"/>
                <w:sz w:val="16"/>
              </w:rPr>
              <w:t>0.6144</w:t>
            </w:r>
          </w:p>
        </w:tc>
        <w:tc>
          <w:tcPr>
            <w:tcW w:w="907" w:type="dxa"/>
            <w:tcMar>
              <w:top w:w="90" w:type="dxa"/>
              <w:left w:w="100" w:type="dxa"/>
              <w:bottom w:w="90" w:type="dxa"/>
              <w:right w:w="100" w:type="dxa"/>
            </w:tcMar>
            <w:vAlign w:val="center"/>
          </w:tcPr>
          <w:p w14:paraId="1D338A50">
            <w:pPr>
              <w:spacing w:after="0" w:line="276" w:lineRule="auto"/>
              <w:jc w:val="center"/>
            </w:pPr>
            <w:r>
              <w:rPr>
                <w:rFonts w:ascii="Times New Roman" w:hAnsi="Times New Roman" w:eastAsia="Noto Serif CJK SC"/>
                <w:sz w:val="16"/>
              </w:rPr>
              <w:t>0.6438</w:t>
            </w:r>
          </w:p>
        </w:tc>
        <w:tc>
          <w:tcPr>
            <w:tcW w:w="1134" w:type="dxa"/>
            <w:tcMar>
              <w:top w:w="90" w:type="dxa"/>
              <w:left w:w="100" w:type="dxa"/>
              <w:bottom w:w="90" w:type="dxa"/>
              <w:right w:w="100" w:type="dxa"/>
            </w:tcMar>
            <w:vAlign w:val="center"/>
          </w:tcPr>
          <w:p w14:paraId="22C48063">
            <w:pPr>
              <w:spacing w:after="0" w:line="276" w:lineRule="auto"/>
              <w:jc w:val="center"/>
            </w:pPr>
            <w:r>
              <w:rPr>
                <w:rFonts w:ascii="Times New Roman" w:hAnsi="Times New Roman" w:eastAsia="Noto Serif CJK SC"/>
                <w:sz w:val="16"/>
              </w:rPr>
              <w:t>0.4350</w:t>
            </w:r>
          </w:p>
        </w:tc>
        <w:tc>
          <w:tcPr>
            <w:tcW w:w="2268" w:type="dxa"/>
            <w:tcMar>
              <w:top w:w="90" w:type="dxa"/>
              <w:left w:w="100" w:type="dxa"/>
              <w:bottom w:w="90" w:type="dxa"/>
              <w:right w:w="100" w:type="dxa"/>
            </w:tcMar>
            <w:vAlign w:val="center"/>
          </w:tcPr>
          <w:p w14:paraId="776DC4EE">
            <w:pPr>
              <w:spacing w:after="0" w:line="276" w:lineRule="auto"/>
              <w:jc w:val="left"/>
            </w:pPr>
            <w:r>
              <w:rPr>
                <w:rFonts w:ascii="Times New Roman" w:hAnsi="Times New Roman" w:eastAsia="Noto Serif CJK SC"/>
                <w:sz w:val="16"/>
              </w:rPr>
              <w:t>置信度课程未转化为Test收益</w:t>
            </w:r>
          </w:p>
        </w:tc>
      </w:tr>
      <w:tr w14:paraId="481E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Mar>
              <w:top w:w="90" w:type="dxa"/>
              <w:left w:w="100" w:type="dxa"/>
              <w:bottom w:w="90" w:type="dxa"/>
              <w:right w:w="100" w:type="dxa"/>
            </w:tcMar>
            <w:vAlign w:val="center"/>
          </w:tcPr>
          <w:p w14:paraId="5F1CBECB">
            <w:pPr>
              <w:spacing w:after="0" w:line="276" w:lineRule="auto"/>
              <w:jc w:val="center"/>
            </w:pPr>
            <w:r>
              <w:rPr>
                <w:rFonts w:ascii="Times New Roman" w:hAnsi="Times New Roman" w:eastAsia="Noto Serif CJK SC"/>
                <w:sz w:val="16"/>
              </w:rPr>
              <w:t>Exp4</w:t>
            </w:r>
          </w:p>
        </w:tc>
        <w:tc>
          <w:tcPr>
            <w:tcW w:w="2324" w:type="dxa"/>
            <w:tcMar>
              <w:top w:w="90" w:type="dxa"/>
              <w:left w:w="100" w:type="dxa"/>
              <w:bottom w:w="90" w:type="dxa"/>
              <w:right w:w="100" w:type="dxa"/>
            </w:tcMar>
            <w:vAlign w:val="center"/>
          </w:tcPr>
          <w:p w14:paraId="48F65EEA">
            <w:pPr>
              <w:spacing w:after="0" w:line="276" w:lineRule="auto"/>
              <w:jc w:val="left"/>
            </w:pPr>
            <w:r>
              <w:rPr>
                <w:rFonts w:ascii="Times New Roman" w:hAnsi="Times New Roman" w:eastAsia="Noto Serif CJK SC"/>
                <w:sz w:val="16"/>
              </w:rPr>
              <w:t>SAM3筛选 + 框修正</w:t>
            </w:r>
          </w:p>
        </w:tc>
        <w:tc>
          <w:tcPr>
            <w:tcW w:w="907" w:type="dxa"/>
            <w:tcMar>
              <w:top w:w="90" w:type="dxa"/>
              <w:left w:w="100" w:type="dxa"/>
              <w:bottom w:w="90" w:type="dxa"/>
              <w:right w:w="100" w:type="dxa"/>
            </w:tcMar>
            <w:vAlign w:val="center"/>
          </w:tcPr>
          <w:p w14:paraId="576E8389">
            <w:pPr>
              <w:spacing w:after="0" w:line="276" w:lineRule="auto"/>
              <w:jc w:val="center"/>
            </w:pPr>
            <w:r>
              <w:rPr>
                <w:rFonts w:ascii="Times New Roman" w:hAnsi="Times New Roman" w:eastAsia="Noto Serif CJK SC"/>
                <w:sz w:val="16"/>
              </w:rPr>
              <w:t>0.6657</w:t>
            </w:r>
          </w:p>
        </w:tc>
        <w:tc>
          <w:tcPr>
            <w:tcW w:w="850" w:type="dxa"/>
            <w:tcMar>
              <w:top w:w="90" w:type="dxa"/>
              <w:left w:w="100" w:type="dxa"/>
              <w:bottom w:w="90" w:type="dxa"/>
              <w:right w:w="100" w:type="dxa"/>
            </w:tcMar>
            <w:vAlign w:val="center"/>
          </w:tcPr>
          <w:p w14:paraId="51E82B94">
            <w:pPr>
              <w:spacing w:after="0" w:line="276" w:lineRule="auto"/>
              <w:jc w:val="center"/>
            </w:pPr>
            <w:r>
              <w:rPr>
                <w:rFonts w:ascii="Times New Roman" w:hAnsi="Times New Roman" w:eastAsia="Noto Serif CJK SC"/>
                <w:sz w:val="16"/>
              </w:rPr>
              <w:t>0.6554</w:t>
            </w:r>
          </w:p>
        </w:tc>
        <w:tc>
          <w:tcPr>
            <w:tcW w:w="907" w:type="dxa"/>
            <w:tcMar>
              <w:top w:w="90" w:type="dxa"/>
              <w:left w:w="100" w:type="dxa"/>
              <w:bottom w:w="90" w:type="dxa"/>
              <w:right w:w="100" w:type="dxa"/>
            </w:tcMar>
            <w:vAlign w:val="center"/>
          </w:tcPr>
          <w:p w14:paraId="0AB55425">
            <w:pPr>
              <w:spacing w:after="0" w:line="276" w:lineRule="auto"/>
              <w:jc w:val="center"/>
            </w:pPr>
            <w:r>
              <w:rPr>
                <w:rFonts w:ascii="Times New Roman" w:hAnsi="Times New Roman" w:eastAsia="Noto Serif CJK SC"/>
                <w:sz w:val="16"/>
              </w:rPr>
              <w:t>0.6474</w:t>
            </w:r>
          </w:p>
        </w:tc>
        <w:tc>
          <w:tcPr>
            <w:tcW w:w="1134" w:type="dxa"/>
            <w:tcMar>
              <w:top w:w="90" w:type="dxa"/>
              <w:left w:w="100" w:type="dxa"/>
              <w:bottom w:w="90" w:type="dxa"/>
              <w:right w:w="100" w:type="dxa"/>
            </w:tcMar>
            <w:vAlign w:val="center"/>
          </w:tcPr>
          <w:p w14:paraId="72886DBF">
            <w:pPr>
              <w:spacing w:after="0" w:line="276" w:lineRule="auto"/>
              <w:jc w:val="center"/>
            </w:pPr>
            <w:r>
              <w:rPr>
                <w:rFonts w:ascii="Times New Roman" w:hAnsi="Times New Roman" w:eastAsia="Noto Serif CJK SC"/>
                <w:sz w:val="16"/>
              </w:rPr>
              <w:t>0.4350</w:t>
            </w:r>
          </w:p>
        </w:tc>
        <w:tc>
          <w:tcPr>
            <w:tcW w:w="2268" w:type="dxa"/>
            <w:tcMar>
              <w:top w:w="90" w:type="dxa"/>
              <w:left w:w="100" w:type="dxa"/>
              <w:bottom w:w="90" w:type="dxa"/>
              <w:right w:w="100" w:type="dxa"/>
            </w:tcMar>
            <w:vAlign w:val="center"/>
          </w:tcPr>
          <w:p w14:paraId="04C6ED16">
            <w:pPr>
              <w:spacing w:after="0" w:line="276" w:lineRule="auto"/>
              <w:jc w:val="left"/>
            </w:pPr>
            <w:r>
              <w:rPr>
                <w:rFonts w:ascii="Times New Roman" w:hAnsi="Times New Roman" w:eastAsia="Noto Serif CJK SC"/>
                <w:sz w:val="16"/>
              </w:rPr>
              <w:t>Recall升但整体mAP降</w:t>
            </w:r>
          </w:p>
        </w:tc>
      </w:tr>
      <w:tr w14:paraId="6F41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Mar>
              <w:top w:w="90" w:type="dxa"/>
              <w:left w:w="100" w:type="dxa"/>
              <w:bottom w:w="90" w:type="dxa"/>
              <w:right w:w="100" w:type="dxa"/>
            </w:tcMar>
            <w:vAlign w:val="center"/>
          </w:tcPr>
          <w:p w14:paraId="106831B7">
            <w:pPr>
              <w:spacing w:after="0" w:line="276" w:lineRule="auto"/>
              <w:jc w:val="center"/>
            </w:pPr>
            <w:r>
              <w:rPr>
                <w:rFonts w:ascii="Times New Roman" w:hAnsi="Times New Roman" w:eastAsia="Noto Serif CJK SC"/>
                <w:sz w:val="16"/>
              </w:rPr>
              <w:t>Exp5</w:t>
            </w:r>
          </w:p>
        </w:tc>
        <w:tc>
          <w:tcPr>
            <w:tcW w:w="2324" w:type="dxa"/>
            <w:tcMar>
              <w:top w:w="90" w:type="dxa"/>
              <w:left w:w="100" w:type="dxa"/>
              <w:bottom w:w="90" w:type="dxa"/>
              <w:right w:w="100" w:type="dxa"/>
            </w:tcMar>
            <w:vAlign w:val="center"/>
          </w:tcPr>
          <w:p w14:paraId="13E4F631">
            <w:pPr>
              <w:spacing w:after="0" w:line="276" w:lineRule="auto"/>
              <w:jc w:val="left"/>
            </w:pPr>
            <w:r>
              <w:rPr>
                <w:rFonts w:ascii="Times New Roman" w:hAnsi="Times New Roman" w:eastAsia="Noto Serif CJK SC"/>
                <w:sz w:val="16"/>
              </w:rPr>
              <w:t>SAM3筛选 + YOLO补框</w:t>
            </w:r>
          </w:p>
        </w:tc>
        <w:tc>
          <w:tcPr>
            <w:tcW w:w="907" w:type="dxa"/>
            <w:tcMar>
              <w:top w:w="90" w:type="dxa"/>
              <w:left w:w="100" w:type="dxa"/>
              <w:bottom w:w="90" w:type="dxa"/>
              <w:right w:w="100" w:type="dxa"/>
            </w:tcMar>
            <w:vAlign w:val="center"/>
          </w:tcPr>
          <w:p w14:paraId="2A5A400D">
            <w:pPr>
              <w:spacing w:after="0" w:line="276" w:lineRule="auto"/>
              <w:jc w:val="center"/>
            </w:pPr>
            <w:r>
              <w:rPr>
                <w:rFonts w:ascii="Times New Roman" w:hAnsi="Times New Roman" w:eastAsia="Noto Serif CJK SC"/>
                <w:sz w:val="16"/>
              </w:rPr>
              <w:t>0.7060</w:t>
            </w:r>
          </w:p>
        </w:tc>
        <w:tc>
          <w:tcPr>
            <w:tcW w:w="850" w:type="dxa"/>
            <w:tcMar>
              <w:top w:w="90" w:type="dxa"/>
              <w:left w:w="100" w:type="dxa"/>
              <w:bottom w:w="90" w:type="dxa"/>
              <w:right w:w="100" w:type="dxa"/>
            </w:tcMar>
            <w:vAlign w:val="center"/>
          </w:tcPr>
          <w:p w14:paraId="3C84C2FE">
            <w:pPr>
              <w:spacing w:after="0" w:line="276" w:lineRule="auto"/>
              <w:jc w:val="center"/>
            </w:pPr>
            <w:r>
              <w:rPr>
                <w:rFonts w:ascii="Times New Roman" w:hAnsi="Times New Roman" w:eastAsia="Noto Serif CJK SC"/>
                <w:sz w:val="16"/>
              </w:rPr>
              <w:t>0.6198</w:t>
            </w:r>
          </w:p>
        </w:tc>
        <w:tc>
          <w:tcPr>
            <w:tcW w:w="907" w:type="dxa"/>
            <w:tcMar>
              <w:top w:w="90" w:type="dxa"/>
              <w:left w:w="100" w:type="dxa"/>
              <w:bottom w:w="90" w:type="dxa"/>
              <w:right w:w="100" w:type="dxa"/>
            </w:tcMar>
            <w:vAlign w:val="center"/>
          </w:tcPr>
          <w:p w14:paraId="3319E9DE">
            <w:pPr>
              <w:spacing w:after="0" w:line="276" w:lineRule="auto"/>
              <w:jc w:val="center"/>
            </w:pPr>
            <w:r>
              <w:rPr>
                <w:rFonts w:ascii="Times New Roman" w:hAnsi="Times New Roman" w:eastAsia="Noto Serif CJK SC"/>
                <w:sz w:val="16"/>
              </w:rPr>
              <w:t>0.6336</w:t>
            </w:r>
          </w:p>
        </w:tc>
        <w:tc>
          <w:tcPr>
            <w:tcW w:w="1134" w:type="dxa"/>
            <w:tcMar>
              <w:top w:w="90" w:type="dxa"/>
              <w:left w:w="100" w:type="dxa"/>
              <w:bottom w:w="90" w:type="dxa"/>
              <w:right w:w="100" w:type="dxa"/>
            </w:tcMar>
            <w:vAlign w:val="center"/>
          </w:tcPr>
          <w:p w14:paraId="186ABC2B">
            <w:pPr>
              <w:spacing w:after="0" w:line="276" w:lineRule="auto"/>
              <w:jc w:val="center"/>
            </w:pPr>
            <w:r>
              <w:rPr>
                <w:rFonts w:ascii="Times New Roman" w:hAnsi="Times New Roman" w:eastAsia="Noto Serif CJK SC"/>
                <w:sz w:val="16"/>
              </w:rPr>
              <w:t>0.4348</w:t>
            </w:r>
          </w:p>
        </w:tc>
        <w:tc>
          <w:tcPr>
            <w:tcW w:w="2268" w:type="dxa"/>
            <w:tcMar>
              <w:top w:w="90" w:type="dxa"/>
              <w:left w:w="100" w:type="dxa"/>
              <w:bottom w:w="90" w:type="dxa"/>
              <w:right w:w="100" w:type="dxa"/>
            </w:tcMar>
            <w:vAlign w:val="center"/>
          </w:tcPr>
          <w:p w14:paraId="40AC6452">
            <w:pPr>
              <w:spacing w:after="0" w:line="276" w:lineRule="auto"/>
              <w:jc w:val="left"/>
            </w:pPr>
            <w:r>
              <w:rPr>
                <w:rFonts w:ascii="Times New Roman" w:hAnsi="Times New Roman" w:eastAsia="Noto Serif CJK SC"/>
                <w:sz w:val="16"/>
              </w:rPr>
              <w:t>复杂级联未形成收益</w:t>
            </w:r>
          </w:p>
        </w:tc>
      </w:tr>
    </w:tbl>
    <w:p w14:paraId="57D16D35">
      <w:pPr>
        <w:widowControl/>
        <w:spacing w:after="20"/>
      </w:pPr>
    </w:p>
    <w:p w14:paraId="108437E5">
      <w:pPr>
        <w:widowControl/>
        <w:spacing w:before="0" w:after="100" w:line="360" w:lineRule="auto"/>
        <w:ind w:firstLine="420"/>
        <w:jc w:val="both"/>
      </w:pPr>
      <w:r>
        <w:rPr>
          <w:rFonts w:ascii="Times New Roman" w:hAnsi="Times New Roman" w:eastAsia="Noto Serif CJK SC"/>
          <w:sz w:val="22"/>
        </w:rPr>
        <w:t>说明：早期Pilot与当前追加消融可能存在测试子集、代码版本或训练run口径差异，因此正式论文中不将不同协议下的小数差异作显著性比较。其用途是形成研究问题与候选机制；正式结论以开题后冻结协议重跑为准。</w:t>
      </w:r>
    </w:p>
    <w:p w14:paraId="5775D8D1">
      <w:pPr>
        <w:pStyle w:val="4"/>
        <w:keepNext/>
        <w:widowControl/>
        <w:spacing w:before="140" w:after="60" w:line="276" w:lineRule="auto"/>
      </w:pPr>
      <w:r>
        <w:rPr>
          <w:rFonts w:ascii="Times New Roman" w:hAnsi="Times New Roman" w:eastAsia="Noto Sans CJK SC"/>
          <w:b/>
          <w:sz w:val="26"/>
        </w:rPr>
        <w:t>6.3 2026年8月17日SAM3角色消融（当前统一274张评测口径）</w:t>
      </w:r>
    </w:p>
    <w:p w14:paraId="5B53B14B">
      <w:pPr>
        <w:widowControl/>
        <w:spacing w:before="80" w:after="80"/>
        <w:jc w:val="center"/>
      </w:pPr>
      <w:r>
        <w:rPr>
          <w:rFonts w:ascii="Times New Roman" w:hAnsi="Times New Roman" w:eastAsia="Noto Sans CJK SC"/>
          <w:b/>
          <w:sz w:val="18"/>
        </w:rPr>
        <w:t>表6-2  当日双教师消融结果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549"/>
        <w:gridCol w:w="1549"/>
        <w:gridCol w:w="1549"/>
        <w:gridCol w:w="1549"/>
        <w:gridCol w:w="1549"/>
      </w:tblGrid>
      <w:tr w14:paraId="46C4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D9EAF7"/>
            <w:tcMar>
              <w:top w:w="110" w:type="dxa"/>
              <w:left w:w="100" w:type="dxa"/>
              <w:bottom w:w="110" w:type="dxa"/>
              <w:right w:w="100" w:type="dxa"/>
            </w:tcMar>
            <w:vAlign w:val="center"/>
          </w:tcPr>
          <w:p w14:paraId="4D2F1BE8">
            <w:pPr>
              <w:spacing w:after="0" w:line="240" w:lineRule="auto"/>
              <w:jc w:val="center"/>
            </w:pPr>
            <w:r>
              <w:rPr>
                <w:rFonts w:ascii="Times New Roman" w:hAnsi="Times New Roman" w:eastAsia="Noto Sans CJK SC"/>
                <w:b/>
                <w:sz w:val="17"/>
              </w:rPr>
              <w:t>实验</w:t>
            </w:r>
          </w:p>
        </w:tc>
        <w:tc>
          <w:tcPr>
            <w:tcW w:w="3628" w:type="dxa"/>
            <w:shd w:val="clear" w:color="auto" w:fill="D9EAF7"/>
            <w:tcMar>
              <w:top w:w="110" w:type="dxa"/>
              <w:left w:w="100" w:type="dxa"/>
              <w:bottom w:w="110" w:type="dxa"/>
              <w:right w:w="100" w:type="dxa"/>
            </w:tcMar>
            <w:vAlign w:val="center"/>
          </w:tcPr>
          <w:p w14:paraId="0F88BAAC">
            <w:pPr>
              <w:spacing w:after="0" w:line="240" w:lineRule="auto"/>
              <w:jc w:val="center"/>
            </w:pPr>
            <w:r>
              <w:rPr>
                <w:rFonts w:ascii="Times New Roman" w:hAnsi="Times New Roman" w:eastAsia="Noto Sans CJK SC"/>
                <w:b/>
                <w:sz w:val="17"/>
              </w:rPr>
              <w:t>机制</w:t>
            </w:r>
          </w:p>
        </w:tc>
        <w:tc>
          <w:tcPr>
            <w:tcW w:w="1020" w:type="dxa"/>
            <w:shd w:val="clear" w:color="auto" w:fill="D9EAF7"/>
            <w:tcMar>
              <w:top w:w="110" w:type="dxa"/>
              <w:left w:w="100" w:type="dxa"/>
              <w:bottom w:w="110" w:type="dxa"/>
              <w:right w:w="100" w:type="dxa"/>
            </w:tcMar>
            <w:vAlign w:val="center"/>
          </w:tcPr>
          <w:p w14:paraId="571BF3CA">
            <w:pPr>
              <w:spacing w:after="0" w:line="240" w:lineRule="auto"/>
              <w:jc w:val="center"/>
            </w:pPr>
            <w:r>
              <w:rPr>
                <w:rFonts w:ascii="Times New Roman" w:hAnsi="Times New Roman" w:eastAsia="Noto Sans CJK SC"/>
                <w:b/>
                <w:sz w:val="17"/>
              </w:rPr>
              <w:t>Precision</w:t>
            </w:r>
          </w:p>
        </w:tc>
        <w:tc>
          <w:tcPr>
            <w:tcW w:w="907" w:type="dxa"/>
            <w:shd w:val="clear" w:color="auto" w:fill="D9EAF7"/>
            <w:tcMar>
              <w:top w:w="110" w:type="dxa"/>
              <w:left w:w="100" w:type="dxa"/>
              <w:bottom w:w="110" w:type="dxa"/>
              <w:right w:w="100" w:type="dxa"/>
            </w:tcMar>
            <w:vAlign w:val="center"/>
          </w:tcPr>
          <w:p w14:paraId="74BE0F91">
            <w:pPr>
              <w:spacing w:after="0" w:line="240" w:lineRule="auto"/>
              <w:jc w:val="center"/>
            </w:pPr>
            <w:r>
              <w:rPr>
                <w:rFonts w:ascii="Times New Roman" w:hAnsi="Times New Roman" w:eastAsia="Noto Sans CJK SC"/>
                <w:b/>
                <w:sz w:val="17"/>
              </w:rPr>
              <w:t>Recall</w:t>
            </w:r>
          </w:p>
        </w:tc>
        <w:tc>
          <w:tcPr>
            <w:tcW w:w="1020" w:type="dxa"/>
            <w:shd w:val="clear" w:color="auto" w:fill="D9EAF7"/>
            <w:tcMar>
              <w:top w:w="110" w:type="dxa"/>
              <w:left w:w="100" w:type="dxa"/>
              <w:bottom w:w="110" w:type="dxa"/>
              <w:right w:w="100" w:type="dxa"/>
            </w:tcMar>
            <w:vAlign w:val="center"/>
          </w:tcPr>
          <w:p w14:paraId="54DD8C21">
            <w:pPr>
              <w:spacing w:after="0" w:line="240" w:lineRule="auto"/>
              <w:jc w:val="center"/>
            </w:pPr>
            <w:r>
              <w:rPr>
                <w:rFonts w:ascii="Times New Roman" w:hAnsi="Times New Roman" w:eastAsia="Noto Sans CJK SC"/>
                <w:b/>
                <w:sz w:val="17"/>
              </w:rPr>
              <w:t>mAP@0.5</w:t>
            </w:r>
          </w:p>
        </w:tc>
        <w:tc>
          <w:tcPr>
            <w:tcW w:w="1304" w:type="dxa"/>
            <w:shd w:val="clear" w:color="auto" w:fill="D9EAF7"/>
            <w:tcMar>
              <w:top w:w="110" w:type="dxa"/>
              <w:left w:w="100" w:type="dxa"/>
              <w:bottom w:w="110" w:type="dxa"/>
              <w:right w:w="100" w:type="dxa"/>
            </w:tcMar>
            <w:vAlign w:val="center"/>
          </w:tcPr>
          <w:p w14:paraId="66D1B22D">
            <w:pPr>
              <w:spacing w:after="0" w:line="240" w:lineRule="auto"/>
              <w:jc w:val="center"/>
            </w:pPr>
            <w:r>
              <w:rPr>
                <w:rFonts w:ascii="Times New Roman" w:hAnsi="Times New Roman" w:eastAsia="Noto Sans CJK SC"/>
                <w:b/>
                <w:sz w:val="17"/>
              </w:rPr>
              <w:t>mAP@0.5:0.95</w:t>
            </w:r>
          </w:p>
        </w:tc>
      </w:tr>
      <w:tr w14:paraId="5B36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31605AC7">
            <w:pPr>
              <w:spacing w:after="0" w:line="276" w:lineRule="auto"/>
              <w:jc w:val="center"/>
            </w:pPr>
            <w:r>
              <w:rPr>
                <w:rFonts w:ascii="Times New Roman" w:hAnsi="Times New Roman" w:eastAsia="Noto Serif CJK SC"/>
                <w:sz w:val="17"/>
              </w:rPr>
              <w:t>Exp0</w:t>
            </w:r>
          </w:p>
        </w:tc>
        <w:tc>
          <w:tcPr>
            <w:tcW w:w="3628" w:type="dxa"/>
            <w:tcMar>
              <w:top w:w="90" w:type="dxa"/>
              <w:left w:w="100" w:type="dxa"/>
              <w:bottom w:w="90" w:type="dxa"/>
              <w:right w:w="100" w:type="dxa"/>
            </w:tcMar>
            <w:vAlign w:val="center"/>
          </w:tcPr>
          <w:p w14:paraId="1929E174">
            <w:pPr>
              <w:spacing w:after="0" w:line="276" w:lineRule="auto"/>
              <w:jc w:val="left"/>
            </w:pPr>
            <w:r>
              <w:rPr>
                <w:rFonts w:ascii="Times New Roman" w:hAnsi="Times New Roman" w:eastAsia="Noto Serif CJK SC"/>
                <w:sz w:val="17"/>
              </w:rPr>
              <w:t>人工GT baseline</w:t>
            </w:r>
          </w:p>
        </w:tc>
        <w:tc>
          <w:tcPr>
            <w:tcW w:w="1020" w:type="dxa"/>
            <w:tcMar>
              <w:top w:w="90" w:type="dxa"/>
              <w:left w:w="100" w:type="dxa"/>
              <w:bottom w:w="90" w:type="dxa"/>
              <w:right w:w="100" w:type="dxa"/>
            </w:tcMar>
            <w:vAlign w:val="center"/>
          </w:tcPr>
          <w:p w14:paraId="44927883">
            <w:pPr>
              <w:spacing w:after="0" w:line="276" w:lineRule="auto"/>
              <w:jc w:val="center"/>
            </w:pPr>
            <w:r>
              <w:rPr>
                <w:rFonts w:ascii="Times New Roman" w:hAnsi="Times New Roman" w:eastAsia="Noto Serif CJK SC"/>
                <w:sz w:val="17"/>
              </w:rPr>
              <w:t>0.8205</w:t>
            </w:r>
          </w:p>
        </w:tc>
        <w:tc>
          <w:tcPr>
            <w:tcW w:w="907" w:type="dxa"/>
            <w:tcMar>
              <w:top w:w="90" w:type="dxa"/>
              <w:left w:w="100" w:type="dxa"/>
              <w:bottom w:w="90" w:type="dxa"/>
              <w:right w:w="100" w:type="dxa"/>
            </w:tcMar>
            <w:vAlign w:val="center"/>
          </w:tcPr>
          <w:p w14:paraId="091558C1">
            <w:pPr>
              <w:spacing w:after="0" w:line="276" w:lineRule="auto"/>
              <w:jc w:val="center"/>
            </w:pPr>
            <w:r>
              <w:rPr>
                <w:rFonts w:ascii="Times New Roman" w:hAnsi="Times New Roman" w:eastAsia="Noto Serif CJK SC"/>
                <w:sz w:val="17"/>
              </w:rPr>
              <w:t>0.6717</w:t>
            </w:r>
          </w:p>
        </w:tc>
        <w:tc>
          <w:tcPr>
            <w:tcW w:w="1020" w:type="dxa"/>
            <w:tcMar>
              <w:top w:w="90" w:type="dxa"/>
              <w:left w:w="100" w:type="dxa"/>
              <w:bottom w:w="90" w:type="dxa"/>
              <w:right w:w="100" w:type="dxa"/>
            </w:tcMar>
            <w:vAlign w:val="center"/>
          </w:tcPr>
          <w:p w14:paraId="075773D9">
            <w:pPr>
              <w:spacing w:after="0" w:line="276" w:lineRule="auto"/>
              <w:jc w:val="center"/>
            </w:pPr>
            <w:r>
              <w:rPr>
                <w:rFonts w:ascii="Times New Roman" w:hAnsi="Times New Roman" w:eastAsia="Noto Serif CJK SC"/>
                <w:sz w:val="17"/>
              </w:rPr>
              <w:t>0.7430</w:t>
            </w:r>
          </w:p>
        </w:tc>
        <w:tc>
          <w:tcPr>
            <w:tcW w:w="1304" w:type="dxa"/>
            <w:tcMar>
              <w:top w:w="90" w:type="dxa"/>
              <w:left w:w="100" w:type="dxa"/>
              <w:bottom w:w="90" w:type="dxa"/>
              <w:right w:w="100" w:type="dxa"/>
            </w:tcMar>
            <w:vAlign w:val="center"/>
          </w:tcPr>
          <w:p w14:paraId="033327DC">
            <w:pPr>
              <w:spacing w:after="0" w:line="276" w:lineRule="auto"/>
              <w:jc w:val="center"/>
            </w:pPr>
            <w:r>
              <w:rPr>
                <w:rFonts w:ascii="Times New Roman" w:hAnsi="Times New Roman" w:eastAsia="Noto Serif CJK SC"/>
                <w:sz w:val="17"/>
              </w:rPr>
              <w:t>0.5377</w:t>
            </w:r>
          </w:p>
        </w:tc>
      </w:tr>
      <w:tr w14:paraId="5533C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7B3F648C">
            <w:pPr>
              <w:spacing w:after="0" w:line="276" w:lineRule="auto"/>
              <w:jc w:val="center"/>
            </w:pPr>
            <w:r>
              <w:rPr>
                <w:rFonts w:ascii="Times New Roman" w:hAnsi="Times New Roman" w:eastAsia="Noto Serif CJK SC"/>
                <w:sz w:val="17"/>
              </w:rPr>
              <w:t>Exp1</w:t>
            </w:r>
          </w:p>
        </w:tc>
        <w:tc>
          <w:tcPr>
            <w:tcW w:w="3628" w:type="dxa"/>
            <w:tcMar>
              <w:top w:w="90" w:type="dxa"/>
              <w:left w:w="100" w:type="dxa"/>
              <w:bottom w:w="90" w:type="dxa"/>
              <w:right w:w="100" w:type="dxa"/>
            </w:tcMar>
            <w:vAlign w:val="center"/>
          </w:tcPr>
          <w:p w14:paraId="5EAAA50F">
            <w:pPr>
              <w:spacing w:after="0" w:line="276" w:lineRule="auto"/>
              <w:jc w:val="left"/>
            </w:pPr>
            <w:r>
              <w:rPr>
                <w:rFonts w:ascii="Times New Roman" w:hAnsi="Times New Roman" w:eastAsia="Noto Serif CJK SC"/>
                <w:sz w:val="17"/>
              </w:rPr>
              <w:t>DINO Only</w:t>
            </w:r>
          </w:p>
        </w:tc>
        <w:tc>
          <w:tcPr>
            <w:tcW w:w="1020" w:type="dxa"/>
            <w:tcMar>
              <w:top w:w="90" w:type="dxa"/>
              <w:left w:w="100" w:type="dxa"/>
              <w:bottom w:w="90" w:type="dxa"/>
              <w:right w:w="100" w:type="dxa"/>
            </w:tcMar>
            <w:vAlign w:val="center"/>
          </w:tcPr>
          <w:p w14:paraId="01651191">
            <w:pPr>
              <w:spacing w:after="0" w:line="276" w:lineRule="auto"/>
              <w:jc w:val="center"/>
            </w:pPr>
            <w:r>
              <w:rPr>
                <w:rFonts w:ascii="Times New Roman" w:hAnsi="Times New Roman" w:eastAsia="Noto Serif CJK SC"/>
                <w:sz w:val="17"/>
              </w:rPr>
              <w:t>0.7635</w:t>
            </w:r>
          </w:p>
        </w:tc>
        <w:tc>
          <w:tcPr>
            <w:tcW w:w="907" w:type="dxa"/>
            <w:tcMar>
              <w:top w:w="90" w:type="dxa"/>
              <w:left w:w="100" w:type="dxa"/>
              <w:bottom w:w="90" w:type="dxa"/>
              <w:right w:w="100" w:type="dxa"/>
            </w:tcMar>
            <w:vAlign w:val="center"/>
          </w:tcPr>
          <w:p w14:paraId="58AA2930">
            <w:pPr>
              <w:spacing w:after="0" w:line="276" w:lineRule="auto"/>
              <w:jc w:val="center"/>
            </w:pPr>
            <w:r>
              <w:rPr>
                <w:rFonts w:ascii="Times New Roman" w:hAnsi="Times New Roman" w:eastAsia="Noto Serif CJK SC"/>
                <w:sz w:val="17"/>
              </w:rPr>
              <w:t>0.6216</w:t>
            </w:r>
          </w:p>
        </w:tc>
        <w:tc>
          <w:tcPr>
            <w:tcW w:w="1020" w:type="dxa"/>
            <w:tcMar>
              <w:top w:w="90" w:type="dxa"/>
              <w:left w:w="100" w:type="dxa"/>
              <w:bottom w:w="90" w:type="dxa"/>
              <w:right w:w="100" w:type="dxa"/>
            </w:tcMar>
            <w:vAlign w:val="center"/>
          </w:tcPr>
          <w:p w14:paraId="4106CBC1">
            <w:pPr>
              <w:spacing w:after="0" w:line="276" w:lineRule="auto"/>
              <w:jc w:val="center"/>
            </w:pPr>
            <w:r>
              <w:rPr>
                <w:rFonts w:ascii="Times New Roman" w:hAnsi="Times New Roman" w:eastAsia="Noto Serif CJK SC"/>
                <w:sz w:val="17"/>
              </w:rPr>
              <w:t>0.6647</w:t>
            </w:r>
          </w:p>
        </w:tc>
        <w:tc>
          <w:tcPr>
            <w:tcW w:w="1304" w:type="dxa"/>
            <w:tcMar>
              <w:top w:w="90" w:type="dxa"/>
              <w:left w:w="100" w:type="dxa"/>
              <w:bottom w:w="90" w:type="dxa"/>
              <w:right w:w="100" w:type="dxa"/>
            </w:tcMar>
            <w:vAlign w:val="center"/>
          </w:tcPr>
          <w:p w14:paraId="10862FB2">
            <w:pPr>
              <w:spacing w:after="0" w:line="276" w:lineRule="auto"/>
              <w:jc w:val="center"/>
            </w:pPr>
            <w:r>
              <w:rPr>
                <w:rFonts w:ascii="Times New Roman" w:hAnsi="Times New Roman" w:eastAsia="Noto Serif CJK SC"/>
                <w:sz w:val="17"/>
              </w:rPr>
              <w:t>0.4623</w:t>
            </w:r>
          </w:p>
        </w:tc>
      </w:tr>
      <w:tr w14:paraId="6A65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504605C2">
            <w:pPr>
              <w:spacing w:after="0" w:line="276" w:lineRule="auto"/>
              <w:jc w:val="center"/>
            </w:pPr>
            <w:r>
              <w:rPr>
                <w:rFonts w:ascii="Times New Roman" w:hAnsi="Times New Roman" w:eastAsia="Noto Serif CJK SC"/>
                <w:sz w:val="17"/>
              </w:rPr>
              <w:t>Exp2A</w:t>
            </w:r>
          </w:p>
        </w:tc>
        <w:tc>
          <w:tcPr>
            <w:tcW w:w="3628" w:type="dxa"/>
            <w:tcMar>
              <w:top w:w="90" w:type="dxa"/>
              <w:left w:w="100" w:type="dxa"/>
              <w:bottom w:w="90" w:type="dxa"/>
              <w:right w:w="100" w:type="dxa"/>
            </w:tcMar>
            <w:vAlign w:val="center"/>
          </w:tcPr>
          <w:p w14:paraId="73A34215">
            <w:pPr>
              <w:spacing w:after="0" w:line="276" w:lineRule="auto"/>
              <w:jc w:val="left"/>
            </w:pPr>
            <w:r>
              <w:rPr>
                <w:rFonts w:ascii="Times New Roman" w:hAnsi="Times New Roman" w:eastAsia="Noto Serif CJK SC"/>
                <w:sz w:val="17"/>
              </w:rPr>
              <w:t>SAM3只审核，不补标；保留DINO框</w:t>
            </w:r>
          </w:p>
        </w:tc>
        <w:tc>
          <w:tcPr>
            <w:tcW w:w="1020" w:type="dxa"/>
            <w:tcMar>
              <w:top w:w="90" w:type="dxa"/>
              <w:left w:w="100" w:type="dxa"/>
              <w:bottom w:w="90" w:type="dxa"/>
              <w:right w:w="100" w:type="dxa"/>
            </w:tcMar>
            <w:vAlign w:val="center"/>
          </w:tcPr>
          <w:p w14:paraId="772A084F">
            <w:pPr>
              <w:spacing w:after="0" w:line="276" w:lineRule="auto"/>
              <w:jc w:val="center"/>
            </w:pPr>
            <w:r>
              <w:rPr>
                <w:rFonts w:ascii="Times New Roman" w:hAnsi="Times New Roman" w:eastAsia="Noto Serif CJK SC"/>
                <w:sz w:val="17"/>
              </w:rPr>
              <w:t>0.7410</w:t>
            </w:r>
          </w:p>
        </w:tc>
        <w:tc>
          <w:tcPr>
            <w:tcW w:w="907" w:type="dxa"/>
            <w:tcMar>
              <w:top w:w="90" w:type="dxa"/>
              <w:left w:w="100" w:type="dxa"/>
              <w:bottom w:w="90" w:type="dxa"/>
              <w:right w:w="100" w:type="dxa"/>
            </w:tcMar>
            <w:vAlign w:val="center"/>
          </w:tcPr>
          <w:p w14:paraId="4009CE0A">
            <w:pPr>
              <w:spacing w:after="0" w:line="276" w:lineRule="auto"/>
              <w:jc w:val="center"/>
            </w:pPr>
            <w:r>
              <w:rPr>
                <w:rFonts w:ascii="Times New Roman" w:hAnsi="Times New Roman" w:eastAsia="Noto Serif CJK SC"/>
                <w:sz w:val="17"/>
              </w:rPr>
              <w:t>0.6609</w:t>
            </w:r>
          </w:p>
        </w:tc>
        <w:tc>
          <w:tcPr>
            <w:tcW w:w="1020" w:type="dxa"/>
            <w:tcMar>
              <w:top w:w="90" w:type="dxa"/>
              <w:left w:w="100" w:type="dxa"/>
              <w:bottom w:w="90" w:type="dxa"/>
              <w:right w:w="100" w:type="dxa"/>
            </w:tcMar>
            <w:vAlign w:val="center"/>
          </w:tcPr>
          <w:p w14:paraId="2D08ACC3">
            <w:pPr>
              <w:spacing w:after="0" w:line="276" w:lineRule="auto"/>
              <w:jc w:val="center"/>
            </w:pPr>
            <w:r>
              <w:rPr>
                <w:rFonts w:ascii="Times New Roman" w:hAnsi="Times New Roman" w:eastAsia="Noto Serif CJK SC"/>
                <w:sz w:val="17"/>
              </w:rPr>
              <w:t>0.6689</w:t>
            </w:r>
          </w:p>
        </w:tc>
        <w:tc>
          <w:tcPr>
            <w:tcW w:w="1304" w:type="dxa"/>
            <w:tcMar>
              <w:top w:w="90" w:type="dxa"/>
              <w:left w:w="100" w:type="dxa"/>
              <w:bottom w:w="90" w:type="dxa"/>
              <w:right w:w="100" w:type="dxa"/>
            </w:tcMar>
            <w:vAlign w:val="center"/>
          </w:tcPr>
          <w:p w14:paraId="3DCE5D75">
            <w:pPr>
              <w:spacing w:after="0" w:line="276" w:lineRule="auto"/>
              <w:jc w:val="center"/>
            </w:pPr>
            <w:r>
              <w:rPr>
                <w:rFonts w:ascii="Times New Roman" w:hAnsi="Times New Roman" w:eastAsia="Noto Serif CJK SC"/>
                <w:sz w:val="17"/>
              </w:rPr>
              <w:t>0.4577</w:t>
            </w:r>
          </w:p>
        </w:tc>
      </w:tr>
      <w:tr w14:paraId="464F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5A538662">
            <w:pPr>
              <w:spacing w:after="0" w:line="276" w:lineRule="auto"/>
              <w:jc w:val="center"/>
            </w:pPr>
            <w:r>
              <w:rPr>
                <w:rFonts w:ascii="Times New Roman" w:hAnsi="Times New Roman" w:eastAsia="Noto Serif CJK SC"/>
                <w:sz w:val="17"/>
              </w:rPr>
              <w:t>Exp2B</w:t>
            </w:r>
          </w:p>
        </w:tc>
        <w:tc>
          <w:tcPr>
            <w:tcW w:w="3628" w:type="dxa"/>
            <w:tcMar>
              <w:top w:w="90" w:type="dxa"/>
              <w:left w:w="100" w:type="dxa"/>
              <w:bottom w:w="90" w:type="dxa"/>
              <w:right w:w="100" w:type="dxa"/>
            </w:tcMar>
            <w:vAlign w:val="center"/>
          </w:tcPr>
          <w:p w14:paraId="4748AFF3">
            <w:pPr>
              <w:spacing w:after="0" w:line="276" w:lineRule="auto"/>
              <w:jc w:val="left"/>
            </w:pPr>
            <w:r>
              <w:rPr>
                <w:rFonts w:ascii="Times New Roman" w:hAnsi="Times New Roman" w:eastAsia="Noto Serif CJK SC"/>
                <w:sz w:val="17"/>
              </w:rPr>
              <w:t>审核 + SAM3全图补漏</w:t>
            </w:r>
          </w:p>
        </w:tc>
        <w:tc>
          <w:tcPr>
            <w:tcW w:w="1020" w:type="dxa"/>
            <w:tcMar>
              <w:top w:w="90" w:type="dxa"/>
              <w:left w:w="100" w:type="dxa"/>
              <w:bottom w:w="90" w:type="dxa"/>
              <w:right w:w="100" w:type="dxa"/>
            </w:tcMar>
            <w:vAlign w:val="center"/>
          </w:tcPr>
          <w:p w14:paraId="7EB4347B">
            <w:pPr>
              <w:spacing w:after="0" w:line="276" w:lineRule="auto"/>
              <w:jc w:val="center"/>
            </w:pPr>
            <w:r>
              <w:rPr>
                <w:rFonts w:ascii="Times New Roman" w:hAnsi="Times New Roman" w:eastAsia="Noto Serif CJK SC"/>
                <w:sz w:val="17"/>
              </w:rPr>
              <w:t>0.7531</w:t>
            </w:r>
          </w:p>
        </w:tc>
        <w:tc>
          <w:tcPr>
            <w:tcW w:w="907" w:type="dxa"/>
            <w:tcMar>
              <w:top w:w="90" w:type="dxa"/>
              <w:left w:w="100" w:type="dxa"/>
              <w:bottom w:w="90" w:type="dxa"/>
              <w:right w:w="100" w:type="dxa"/>
            </w:tcMar>
            <w:vAlign w:val="center"/>
          </w:tcPr>
          <w:p w14:paraId="58DE7847">
            <w:pPr>
              <w:spacing w:after="0" w:line="276" w:lineRule="auto"/>
              <w:jc w:val="center"/>
            </w:pPr>
            <w:r>
              <w:rPr>
                <w:rFonts w:ascii="Times New Roman" w:hAnsi="Times New Roman" w:eastAsia="Noto Serif CJK SC"/>
                <w:sz w:val="17"/>
              </w:rPr>
              <w:t>0.6169</w:t>
            </w:r>
          </w:p>
        </w:tc>
        <w:tc>
          <w:tcPr>
            <w:tcW w:w="1020" w:type="dxa"/>
            <w:tcMar>
              <w:top w:w="90" w:type="dxa"/>
              <w:left w:w="100" w:type="dxa"/>
              <w:bottom w:w="90" w:type="dxa"/>
              <w:right w:w="100" w:type="dxa"/>
            </w:tcMar>
            <w:vAlign w:val="center"/>
          </w:tcPr>
          <w:p w14:paraId="067C3873">
            <w:pPr>
              <w:spacing w:after="0" w:line="276" w:lineRule="auto"/>
              <w:jc w:val="center"/>
            </w:pPr>
            <w:r>
              <w:rPr>
                <w:rFonts w:ascii="Times New Roman" w:hAnsi="Times New Roman" w:eastAsia="Noto Serif CJK SC"/>
                <w:sz w:val="17"/>
              </w:rPr>
              <w:t>0.6641</w:t>
            </w:r>
          </w:p>
        </w:tc>
        <w:tc>
          <w:tcPr>
            <w:tcW w:w="1304" w:type="dxa"/>
            <w:tcMar>
              <w:top w:w="90" w:type="dxa"/>
              <w:left w:w="100" w:type="dxa"/>
              <w:bottom w:w="90" w:type="dxa"/>
              <w:right w:w="100" w:type="dxa"/>
            </w:tcMar>
            <w:vAlign w:val="center"/>
          </w:tcPr>
          <w:p w14:paraId="200147BE">
            <w:pPr>
              <w:spacing w:after="0" w:line="276" w:lineRule="auto"/>
              <w:jc w:val="center"/>
            </w:pPr>
            <w:r>
              <w:rPr>
                <w:rFonts w:ascii="Times New Roman" w:hAnsi="Times New Roman" w:eastAsia="Noto Serif CJK SC"/>
                <w:sz w:val="17"/>
              </w:rPr>
              <w:t>0.4529</w:t>
            </w:r>
          </w:p>
        </w:tc>
      </w:tr>
      <w:tr w14:paraId="240CE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100" w:type="dxa"/>
              <w:bottom w:w="90" w:type="dxa"/>
              <w:right w:w="100" w:type="dxa"/>
            </w:tcMar>
            <w:vAlign w:val="center"/>
          </w:tcPr>
          <w:p w14:paraId="50D04AE8">
            <w:pPr>
              <w:spacing w:after="0" w:line="276" w:lineRule="auto"/>
              <w:jc w:val="center"/>
            </w:pPr>
            <w:r>
              <w:rPr>
                <w:rFonts w:ascii="Times New Roman" w:hAnsi="Times New Roman" w:eastAsia="Noto Serif CJK SC"/>
                <w:sz w:val="17"/>
              </w:rPr>
              <w:t>Exp2C</w:t>
            </w:r>
          </w:p>
        </w:tc>
        <w:tc>
          <w:tcPr>
            <w:tcW w:w="3628" w:type="dxa"/>
            <w:tcMar>
              <w:top w:w="90" w:type="dxa"/>
              <w:left w:w="100" w:type="dxa"/>
              <w:bottom w:w="90" w:type="dxa"/>
              <w:right w:w="100" w:type="dxa"/>
            </w:tcMar>
            <w:vAlign w:val="center"/>
          </w:tcPr>
          <w:p w14:paraId="48BB6F28">
            <w:pPr>
              <w:spacing w:after="0" w:line="276" w:lineRule="auto"/>
              <w:jc w:val="left"/>
            </w:pPr>
            <w:r>
              <w:rPr>
                <w:rFonts w:ascii="Times New Roman" w:hAnsi="Times New Roman" w:eastAsia="Noto Serif CJK SC"/>
                <w:sz w:val="17"/>
              </w:rPr>
              <w:t>审核 + 补漏 + SAM3重定位</w:t>
            </w:r>
          </w:p>
        </w:tc>
        <w:tc>
          <w:tcPr>
            <w:tcW w:w="1020" w:type="dxa"/>
            <w:tcMar>
              <w:top w:w="90" w:type="dxa"/>
              <w:left w:w="100" w:type="dxa"/>
              <w:bottom w:w="90" w:type="dxa"/>
              <w:right w:w="100" w:type="dxa"/>
            </w:tcMar>
            <w:vAlign w:val="center"/>
          </w:tcPr>
          <w:p w14:paraId="562D6475">
            <w:pPr>
              <w:spacing w:after="0" w:line="276" w:lineRule="auto"/>
              <w:jc w:val="center"/>
            </w:pPr>
            <w:r>
              <w:rPr>
                <w:rFonts w:ascii="Times New Roman" w:hAnsi="Times New Roman" w:eastAsia="Noto Serif CJK SC"/>
                <w:sz w:val="17"/>
              </w:rPr>
              <w:t>0.6124</w:t>
            </w:r>
          </w:p>
        </w:tc>
        <w:tc>
          <w:tcPr>
            <w:tcW w:w="907" w:type="dxa"/>
            <w:tcMar>
              <w:top w:w="90" w:type="dxa"/>
              <w:left w:w="100" w:type="dxa"/>
              <w:bottom w:w="90" w:type="dxa"/>
              <w:right w:w="100" w:type="dxa"/>
            </w:tcMar>
            <w:vAlign w:val="center"/>
          </w:tcPr>
          <w:p w14:paraId="01512157">
            <w:pPr>
              <w:spacing w:after="0" w:line="276" w:lineRule="auto"/>
              <w:jc w:val="center"/>
            </w:pPr>
            <w:r>
              <w:rPr>
                <w:rFonts w:ascii="Times New Roman" w:hAnsi="Times New Roman" w:eastAsia="Noto Serif CJK SC"/>
                <w:sz w:val="17"/>
              </w:rPr>
              <w:t>0.6182</w:t>
            </w:r>
          </w:p>
        </w:tc>
        <w:tc>
          <w:tcPr>
            <w:tcW w:w="1020" w:type="dxa"/>
            <w:tcMar>
              <w:top w:w="90" w:type="dxa"/>
              <w:left w:w="100" w:type="dxa"/>
              <w:bottom w:w="90" w:type="dxa"/>
              <w:right w:w="100" w:type="dxa"/>
            </w:tcMar>
            <w:vAlign w:val="center"/>
          </w:tcPr>
          <w:p w14:paraId="2C2DA560">
            <w:pPr>
              <w:spacing w:after="0" w:line="276" w:lineRule="auto"/>
              <w:jc w:val="center"/>
            </w:pPr>
            <w:r>
              <w:rPr>
                <w:rFonts w:ascii="Times New Roman" w:hAnsi="Times New Roman" w:eastAsia="Noto Serif CJK SC"/>
                <w:sz w:val="17"/>
              </w:rPr>
              <w:t>0.5769</w:t>
            </w:r>
          </w:p>
        </w:tc>
        <w:tc>
          <w:tcPr>
            <w:tcW w:w="1304" w:type="dxa"/>
            <w:tcMar>
              <w:top w:w="90" w:type="dxa"/>
              <w:left w:w="100" w:type="dxa"/>
              <w:bottom w:w="90" w:type="dxa"/>
              <w:right w:w="100" w:type="dxa"/>
            </w:tcMar>
            <w:vAlign w:val="center"/>
          </w:tcPr>
          <w:p w14:paraId="0CEAF2EE">
            <w:pPr>
              <w:spacing w:after="0" w:line="276" w:lineRule="auto"/>
              <w:jc w:val="center"/>
            </w:pPr>
            <w:r>
              <w:rPr>
                <w:rFonts w:ascii="Times New Roman" w:hAnsi="Times New Roman" w:eastAsia="Noto Serif CJK SC"/>
                <w:sz w:val="17"/>
              </w:rPr>
              <w:t>0.3701</w:t>
            </w:r>
          </w:p>
        </w:tc>
      </w:tr>
    </w:tbl>
    <w:p w14:paraId="6F2E2FE9">
      <w:pPr>
        <w:widowControl/>
        <w:spacing w:after="20"/>
      </w:pPr>
    </w:p>
    <w:p w14:paraId="6916FFD6">
      <w:pPr>
        <w:widowControl/>
        <w:spacing w:before="80" w:after="80"/>
        <w:jc w:val="center"/>
      </w:pPr>
      <w:r>
        <w:rPr>
          <w:rFonts w:ascii="Times New Roman" w:hAnsi="Times New Roman" w:eastAsia="Noto Sans CJK SC"/>
          <w:b/>
          <w:sz w:val="18"/>
        </w:rPr>
        <w:t>表6-3  相对DINO基线的差值与解释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549"/>
        <w:gridCol w:w="1549"/>
        <w:gridCol w:w="1549"/>
        <w:gridCol w:w="1549"/>
        <w:gridCol w:w="1549"/>
      </w:tblGrid>
      <w:tr w14:paraId="3F8A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F7"/>
            <w:tcMar>
              <w:top w:w="110" w:type="dxa"/>
              <w:left w:w="100" w:type="dxa"/>
              <w:bottom w:w="110" w:type="dxa"/>
              <w:right w:w="100" w:type="dxa"/>
            </w:tcMar>
            <w:vAlign w:val="center"/>
          </w:tcPr>
          <w:p w14:paraId="4AAB1E76">
            <w:pPr>
              <w:spacing w:after="0" w:line="240" w:lineRule="auto"/>
              <w:jc w:val="center"/>
            </w:pPr>
            <w:r>
              <w:rPr>
                <w:rFonts w:ascii="Times New Roman" w:hAnsi="Times New Roman" w:eastAsia="Noto Sans CJK SC"/>
                <w:b/>
                <w:sz w:val="17"/>
              </w:rPr>
              <w:t>比较</w:t>
            </w:r>
          </w:p>
        </w:tc>
        <w:tc>
          <w:tcPr>
            <w:tcW w:w="680" w:type="dxa"/>
            <w:shd w:val="clear" w:color="auto" w:fill="D9EAF7"/>
            <w:tcMar>
              <w:top w:w="110" w:type="dxa"/>
              <w:left w:w="100" w:type="dxa"/>
              <w:bottom w:w="110" w:type="dxa"/>
              <w:right w:w="100" w:type="dxa"/>
            </w:tcMar>
            <w:vAlign w:val="center"/>
          </w:tcPr>
          <w:p w14:paraId="6C6F48CB">
            <w:pPr>
              <w:spacing w:after="0" w:line="240" w:lineRule="auto"/>
              <w:jc w:val="center"/>
            </w:pPr>
            <w:r>
              <w:rPr>
                <w:rFonts w:ascii="Times New Roman" w:hAnsi="Times New Roman" w:eastAsia="Noto Sans CJK SC"/>
                <w:b/>
                <w:sz w:val="17"/>
              </w:rPr>
              <w:t>ΔP</w:t>
            </w:r>
          </w:p>
        </w:tc>
        <w:tc>
          <w:tcPr>
            <w:tcW w:w="680" w:type="dxa"/>
            <w:shd w:val="clear" w:color="auto" w:fill="D9EAF7"/>
            <w:tcMar>
              <w:top w:w="110" w:type="dxa"/>
              <w:left w:w="100" w:type="dxa"/>
              <w:bottom w:w="110" w:type="dxa"/>
              <w:right w:w="100" w:type="dxa"/>
            </w:tcMar>
            <w:vAlign w:val="center"/>
          </w:tcPr>
          <w:p w14:paraId="618B040A">
            <w:pPr>
              <w:spacing w:after="0" w:line="240" w:lineRule="auto"/>
              <w:jc w:val="center"/>
            </w:pPr>
            <w:r>
              <w:rPr>
                <w:rFonts w:ascii="Times New Roman" w:hAnsi="Times New Roman" w:eastAsia="Noto Sans CJK SC"/>
                <w:b/>
                <w:sz w:val="17"/>
              </w:rPr>
              <w:t>ΔR</w:t>
            </w:r>
          </w:p>
        </w:tc>
        <w:tc>
          <w:tcPr>
            <w:tcW w:w="850" w:type="dxa"/>
            <w:shd w:val="clear" w:color="auto" w:fill="D9EAF7"/>
            <w:tcMar>
              <w:top w:w="110" w:type="dxa"/>
              <w:left w:w="100" w:type="dxa"/>
              <w:bottom w:w="110" w:type="dxa"/>
              <w:right w:w="100" w:type="dxa"/>
            </w:tcMar>
            <w:vAlign w:val="center"/>
          </w:tcPr>
          <w:p w14:paraId="6840677C">
            <w:pPr>
              <w:spacing w:after="0" w:line="240" w:lineRule="auto"/>
              <w:jc w:val="center"/>
            </w:pPr>
            <w:r>
              <w:rPr>
                <w:rFonts w:ascii="Times New Roman" w:hAnsi="Times New Roman" w:eastAsia="Noto Sans CJK SC"/>
                <w:b/>
                <w:sz w:val="17"/>
              </w:rPr>
              <w:t>ΔmAP50</w:t>
            </w:r>
          </w:p>
        </w:tc>
        <w:tc>
          <w:tcPr>
            <w:tcW w:w="964" w:type="dxa"/>
            <w:shd w:val="clear" w:color="auto" w:fill="D9EAF7"/>
            <w:tcMar>
              <w:top w:w="110" w:type="dxa"/>
              <w:left w:w="100" w:type="dxa"/>
              <w:bottom w:w="110" w:type="dxa"/>
              <w:right w:w="100" w:type="dxa"/>
            </w:tcMar>
            <w:vAlign w:val="center"/>
          </w:tcPr>
          <w:p w14:paraId="13297760">
            <w:pPr>
              <w:spacing w:after="0" w:line="240" w:lineRule="auto"/>
              <w:jc w:val="center"/>
            </w:pPr>
            <w:r>
              <w:rPr>
                <w:rFonts w:ascii="Times New Roman" w:hAnsi="Times New Roman" w:eastAsia="Noto Sans CJK SC"/>
                <w:b/>
                <w:sz w:val="17"/>
              </w:rPr>
              <w:t>ΔmAP50:95</w:t>
            </w:r>
          </w:p>
        </w:tc>
        <w:tc>
          <w:tcPr>
            <w:tcW w:w="4195" w:type="dxa"/>
            <w:shd w:val="clear" w:color="auto" w:fill="D9EAF7"/>
            <w:tcMar>
              <w:top w:w="110" w:type="dxa"/>
              <w:left w:w="100" w:type="dxa"/>
              <w:bottom w:w="110" w:type="dxa"/>
              <w:right w:w="100" w:type="dxa"/>
            </w:tcMar>
            <w:vAlign w:val="center"/>
          </w:tcPr>
          <w:p w14:paraId="711AA78A">
            <w:pPr>
              <w:spacing w:after="0" w:line="240" w:lineRule="auto"/>
              <w:jc w:val="center"/>
            </w:pPr>
            <w:r>
              <w:rPr>
                <w:rFonts w:ascii="Times New Roman" w:hAnsi="Times New Roman" w:eastAsia="Noto Sans CJK SC"/>
                <w:b/>
                <w:sz w:val="17"/>
              </w:rPr>
              <w:t>解释</w:t>
            </w:r>
          </w:p>
        </w:tc>
      </w:tr>
      <w:tr w14:paraId="6BA8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46025492">
            <w:pPr>
              <w:spacing w:after="0" w:line="276" w:lineRule="auto"/>
              <w:jc w:val="center"/>
            </w:pPr>
            <w:r>
              <w:rPr>
                <w:rFonts w:ascii="Times New Roman" w:hAnsi="Times New Roman" w:eastAsia="Noto Serif CJK SC"/>
                <w:sz w:val="17"/>
              </w:rPr>
              <w:t>Exp2A - Exp1</w:t>
            </w:r>
          </w:p>
        </w:tc>
        <w:tc>
          <w:tcPr>
            <w:tcW w:w="680" w:type="dxa"/>
            <w:tcMar>
              <w:top w:w="90" w:type="dxa"/>
              <w:left w:w="100" w:type="dxa"/>
              <w:bottom w:w="90" w:type="dxa"/>
              <w:right w:w="100" w:type="dxa"/>
            </w:tcMar>
            <w:vAlign w:val="center"/>
          </w:tcPr>
          <w:p w14:paraId="39B5702D">
            <w:pPr>
              <w:spacing w:after="0" w:line="276" w:lineRule="auto"/>
              <w:jc w:val="center"/>
            </w:pPr>
            <w:r>
              <w:rPr>
                <w:rFonts w:ascii="Times New Roman" w:hAnsi="Times New Roman" w:eastAsia="Noto Serif CJK SC"/>
                <w:sz w:val="17"/>
              </w:rPr>
              <w:t>-0.0225</w:t>
            </w:r>
          </w:p>
        </w:tc>
        <w:tc>
          <w:tcPr>
            <w:tcW w:w="680" w:type="dxa"/>
            <w:tcMar>
              <w:top w:w="90" w:type="dxa"/>
              <w:left w:w="100" w:type="dxa"/>
              <w:bottom w:w="90" w:type="dxa"/>
              <w:right w:w="100" w:type="dxa"/>
            </w:tcMar>
            <w:vAlign w:val="center"/>
          </w:tcPr>
          <w:p w14:paraId="5F74CCD6">
            <w:pPr>
              <w:spacing w:after="0" w:line="276" w:lineRule="auto"/>
              <w:jc w:val="center"/>
            </w:pPr>
            <w:r>
              <w:rPr>
                <w:rFonts w:ascii="Times New Roman" w:hAnsi="Times New Roman" w:eastAsia="Noto Serif CJK SC"/>
                <w:sz w:val="17"/>
              </w:rPr>
              <w:t>+0.0393</w:t>
            </w:r>
          </w:p>
        </w:tc>
        <w:tc>
          <w:tcPr>
            <w:tcW w:w="850" w:type="dxa"/>
            <w:tcMar>
              <w:top w:w="90" w:type="dxa"/>
              <w:left w:w="100" w:type="dxa"/>
              <w:bottom w:w="90" w:type="dxa"/>
              <w:right w:w="100" w:type="dxa"/>
            </w:tcMar>
            <w:vAlign w:val="center"/>
          </w:tcPr>
          <w:p w14:paraId="1EFC2FBB">
            <w:pPr>
              <w:spacing w:after="0" w:line="276" w:lineRule="auto"/>
              <w:jc w:val="center"/>
            </w:pPr>
            <w:r>
              <w:rPr>
                <w:rFonts w:ascii="Times New Roman" w:hAnsi="Times New Roman" w:eastAsia="Noto Serif CJK SC"/>
                <w:sz w:val="17"/>
              </w:rPr>
              <w:t>+0.0042</w:t>
            </w:r>
          </w:p>
        </w:tc>
        <w:tc>
          <w:tcPr>
            <w:tcW w:w="964" w:type="dxa"/>
            <w:tcMar>
              <w:top w:w="90" w:type="dxa"/>
              <w:left w:w="100" w:type="dxa"/>
              <w:bottom w:w="90" w:type="dxa"/>
              <w:right w:w="100" w:type="dxa"/>
            </w:tcMar>
            <w:vAlign w:val="center"/>
          </w:tcPr>
          <w:p w14:paraId="62EB185A">
            <w:pPr>
              <w:spacing w:after="0" w:line="276" w:lineRule="auto"/>
              <w:jc w:val="center"/>
            </w:pPr>
            <w:r>
              <w:rPr>
                <w:rFonts w:ascii="Times New Roman" w:hAnsi="Times New Roman" w:eastAsia="Noto Serif CJK SC"/>
                <w:sz w:val="17"/>
              </w:rPr>
              <w:t>-0.0046</w:t>
            </w:r>
          </w:p>
        </w:tc>
        <w:tc>
          <w:tcPr>
            <w:tcW w:w="4195" w:type="dxa"/>
            <w:tcMar>
              <w:top w:w="90" w:type="dxa"/>
              <w:left w:w="100" w:type="dxa"/>
              <w:bottom w:w="90" w:type="dxa"/>
              <w:right w:w="100" w:type="dxa"/>
            </w:tcMar>
            <w:vAlign w:val="center"/>
          </w:tcPr>
          <w:p w14:paraId="7BC13F26">
            <w:pPr>
              <w:spacing w:after="0" w:line="276" w:lineRule="auto"/>
              <w:jc w:val="left"/>
            </w:pPr>
            <w:r>
              <w:rPr>
                <w:rFonts w:ascii="Times New Roman" w:hAnsi="Times New Roman" w:eastAsia="Noto Serif CJK SC"/>
                <w:sz w:val="17"/>
              </w:rPr>
              <w:t>Verifier改变监督噪声结构，Recall显著方向性改善；mAP50仅微升，需多seed验证</w:t>
            </w:r>
          </w:p>
        </w:tc>
      </w:tr>
      <w:tr w14:paraId="2A56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750824B1">
            <w:pPr>
              <w:spacing w:after="0" w:line="276" w:lineRule="auto"/>
              <w:jc w:val="center"/>
            </w:pPr>
            <w:r>
              <w:rPr>
                <w:rFonts w:ascii="Times New Roman" w:hAnsi="Times New Roman" w:eastAsia="Noto Serif CJK SC"/>
                <w:sz w:val="17"/>
              </w:rPr>
              <w:t>Exp2B - Exp1</w:t>
            </w:r>
          </w:p>
        </w:tc>
        <w:tc>
          <w:tcPr>
            <w:tcW w:w="680" w:type="dxa"/>
            <w:tcMar>
              <w:top w:w="90" w:type="dxa"/>
              <w:left w:w="100" w:type="dxa"/>
              <w:bottom w:w="90" w:type="dxa"/>
              <w:right w:w="100" w:type="dxa"/>
            </w:tcMar>
            <w:vAlign w:val="center"/>
          </w:tcPr>
          <w:p w14:paraId="2E6485E6">
            <w:pPr>
              <w:spacing w:after="0" w:line="276" w:lineRule="auto"/>
              <w:jc w:val="center"/>
            </w:pPr>
            <w:r>
              <w:rPr>
                <w:rFonts w:ascii="Times New Roman" w:hAnsi="Times New Roman" w:eastAsia="Noto Serif CJK SC"/>
                <w:sz w:val="17"/>
              </w:rPr>
              <w:t>-0.0104</w:t>
            </w:r>
          </w:p>
        </w:tc>
        <w:tc>
          <w:tcPr>
            <w:tcW w:w="680" w:type="dxa"/>
            <w:tcMar>
              <w:top w:w="90" w:type="dxa"/>
              <w:left w:w="100" w:type="dxa"/>
              <w:bottom w:w="90" w:type="dxa"/>
              <w:right w:w="100" w:type="dxa"/>
            </w:tcMar>
            <w:vAlign w:val="center"/>
          </w:tcPr>
          <w:p w14:paraId="1D7000D9">
            <w:pPr>
              <w:spacing w:after="0" w:line="276" w:lineRule="auto"/>
              <w:jc w:val="center"/>
            </w:pPr>
            <w:r>
              <w:rPr>
                <w:rFonts w:ascii="Times New Roman" w:hAnsi="Times New Roman" w:eastAsia="Noto Serif CJK SC"/>
                <w:sz w:val="17"/>
              </w:rPr>
              <w:t>-0.0047</w:t>
            </w:r>
          </w:p>
        </w:tc>
        <w:tc>
          <w:tcPr>
            <w:tcW w:w="850" w:type="dxa"/>
            <w:tcMar>
              <w:top w:w="90" w:type="dxa"/>
              <w:left w:w="100" w:type="dxa"/>
              <w:bottom w:w="90" w:type="dxa"/>
              <w:right w:w="100" w:type="dxa"/>
            </w:tcMar>
            <w:vAlign w:val="center"/>
          </w:tcPr>
          <w:p w14:paraId="1F90CAB3">
            <w:pPr>
              <w:spacing w:after="0" w:line="276" w:lineRule="auto"/>
              <w:jc w:val="center"/>
            </w:pPr>
            <w:r>
              <w:rPr>
                <w:rFonts w:ascii="Times New Roman" w:hAnsi="Times New Roman" w:eastAsia="Noto Serif CJK SC"/>
                <w:sz w:val="17"/>
              </w:rPr>
              <w:t>-0.0006</w:t>
            </w:r>
          </w:p>
        </w:tc>
        <w:tc>
          <w:tcPr>
            <w:tcW w:w="964" w:type="dxa"/>
            <w:tcMar>
              <w:top w:w="90" w:type="dxa"/>
              <w:left w:w="100" w:type="dxa"/>
              <w:bottom w:w="90" w:type="dxa"/>
              <w:right w:w="100" w:type="dxa"/>
            </w:tcMar>
            <w:vAlign w:val="center"/>
          </w:tcPr>
          <w:p w14:paraId="1A9D4564">
            <w:pPr>
              <w:spacing w:after="0" w:line="276" w:lineRule="auto"/>
              <w:jc w:val="center"/>
            </w:pPr>
            <w:r>
              <w:rPr>
                <w:rFonts w:ascii="Times New Roman" w:hAnsi="Times New Roman" w:eastAsia="Noto Serif CJK SC"/>
                <w:sz w:val="17"/>
              </w:rPr>
              <w:t>-0.0094</w:t>
            </w:r>
          </w:p>
        </w:tc>
        <w:tc>
          <w:tcPr>
            <w:tcW w:w="4195" w:type="dxa"/>
            <w:tcMar>
              <w:top w:w="90" w:type="dxa"/>
              <w:left w:w="100" w:type="dxa"/>
              <w:bottom w:w="90" w:type="dxa"/>
              <w:right w:w="100" w:type="dxa"/>
            </w:tcMar>
            <w:vAlign w:val="center"/>
          </w:tcPr>
          <w:p w14:paraId="617E24F4">
            <w:pPr>
              <w:spacing w:after="0" w:line="276" w:lineRule="auto"/>
              <w:jc w:val="left"/>
            </w:pPr>
            <w:r>
              <w:rPr>
                <w:rFonts w:ascii="Times New Roman" w:hAnsi="Times New Roman" w:eastAsia="Noto Serif CJK SC"/>
                <w:sz w:val="17"/>
              </w:rPr>
              <w:t>当前Append没有提供有效额外监督</w:t>
            </w:r>
          </w:p>
        </w:tc>
      </w:tr>
      <w:tr w14:paraId="1EC5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015DEFE0">
            <w:pPr>
              <w:spacing w:after="0" w:line="276" w:lineRule="auto"/>
              <w:jc w:val="center"/>
            </w:pPr>
            <w:r>
              <w:rPr>
                <w:rFonts w:ascii="Times New Roman" w:hAnsi="Times New Roman" w:eastAsia="Noto Serif CJK SC"/>
                <w:sz w:val="17"/>
              </w:rPr>
              <w:t>Exp2C - Exp1</w:t>
            </w:r>
          </w:p>
        </w:tc>
        <w:tc>
          <w:tcPr>
            <w:tcW w:w="680" w:type="dxa"/>
            <w:tcMar>
              <w:top w:w="90" w:type="dxa"/>
              <w:left w:w="100" w:type="dxa"/>
              <w:bottom w:w="90" w:type="dxa"/>
              <w:right w:w="100" w:type="dxa"/>
            </w:tcMar>
            <w:vAlign w:val="center"/>
          </w:tcPr>
          <w:p w14:paraId="429C9228">
            <w:pPr>
              <w:spacing w:after="0" w:line="276" w:lineRule="auto"/>
              <w:jc w:val="center"/>
            </w:pPr>
            <w:r>
              <w:rPr>
                <w:rFonts w:ascii="Times New Roman" w:hAnsi="Times New Roman" w:eastAsia="Noto Serif CJK SC"/>
                <w:sz w:val="17"/>
              </w:rPr>
              <w:t>-0.1511</w:t>
            </w:r>
          </w:p>
        </w:tc>
        <w:tc>
          <w:tcPr>
            <w:tcW w:w="680" w:type="dxa"/>
            <w:tcMar>
              <w:top w:w="90" w:type="dxa"/>
              <w:left w:w="100" w:type="dxa"/>
              <w:bottom w:w="90" w:type="dxa"/>
              <w:right w:w="100" w:type="dxa"/>
            </w:tcMar>
            <w:vAlign w:val="center"/>
          </w:tcPr>
          <w:p w14:paraId="55B8E097">
            <w:pPr>
              <w:spacing w:after="0" w:line="276" w:lineRule="auto"/>
              <w:jc w:val="center"/>
            </w:pPr>
            <w:r>
              <w:rPr>
                <w:rFonts w:ascii="Times New Roman" w:hAnsi="Times New Roman" w:eastAsia="Noto Serif CJK SC"/>
                <w:sz w:val="17"/>
              </w:rPr>
              <w:t>-0.0034</w:t>
            </w:r>
          </w:p>
        </w:tc>
        <w:tc>
          <w:tcPr>
            <w:tcW w:w="850" w:type="dxa"/>
            <w:tcMar>
              <w:top w:w="90" w:type="dxa"/>
              <w:left w:w="100" w:type="dxa"/>
              <w:bottom w:w="90" w:type="dxa"/>
              <w:right w:w="100" w:type="dxa"/>
            </w:tcMar>
            <w:vAlign w:val="center"/>
          </w:tcPr>
          <w:p w14:paraId="35FBE82F">
            <w:pPr>
              <w:spacing w:after="0" w:line="276" w:lineRule="auto"/>
              <w:jc w:val="center"/>
            </w:pPr>
            <w:r>
              <w:rPr>
                <w:rFonts w:ascii="Times New Roman" w:hAnsi="Times New Roman" w:eastAsia="Noto Serif CJK SC"/>
                <w:sz w:val="17"/>
              </w:rPr>
              <w:t>-0.0878</w:t>
            </w:r>
          </w:p>
        </w:tc>
        <w:tc>
          <w:tcPr>
            <w:tcW w:w="964" w:type="dxa"/>
            <w:tcMar>
              <w:top w:w="90" w:type="dxa"/>
              <w:left w:w="100" w:type="dxa"/>
              <w:bottom w:w="90" w:type="dxa"/>
              <w:right w:w="100" w:type="dxa"/>
            </w:tcMar>
            <w:vAlign w:val="center"/>
          </w:tcPr>
          <w:p w14:paraId="74793A16">
            <w:pPr>
              <w:spacing w:after="0" w:line="276" w:lineRule="auto"/>
              <w:jc w:val="center"/>
            </w:pPr>
            <w:r>
              <w:rPr>
                <w:rFonts w:ascii="Times New Roman" w:hAnsi="Times New Roman" w:eastAsia="Noto Serif CJK SC"/>
                <w:sz w:val="17"/>
              </w:rPr>
              <w:t>-0.0922</w:t>
            </w:r>
          </w:p>
        </w:tc>
        <w:tc>
          <w:tcPr>
            <w:tcW w:w="4195" w:type="dxa"/>
            <w:tcMar>
              <w:top w:w="90" w:type="dxa"/>
              <w:left w:w="100" w:type="dxa"/>
              <w:bottom w:w="90" w:type="dxa"/>
              <w:right w:w="100" w:type="dxa"/>
            </w:tcMar>
            <w:vAlign w:val="center"/>
          </w:tcPr>
          <w:p w14:paraId="75C66C23">
            <w:pPr>
              <w:spacing w:after="0" w:line="276" w:lineRule="auto"/>
              <w:jc w:val="left"/>
            </w:pPr>
            <w:r>
              <w:rPr>
                <w:rFonts w:ascii="Times New Roman" w:hAnsi="Times New Roman" w:eastAsia="Noto Serif CJK SC"/>
                <w:sz w:val="17"/>
              </w:rPr>
              <w:t>SAM3 mask-derived box明显不适合作为默认YOLO检测框</w:t>
            </w:r>
          </w:p>
        </w:tc>
      </w:tr>
    </w:tbl>
    <w:p w14:paraId="5E3DE3BD">
      <w:pPr>
        <w:widowControl/>
        <w:spacing w:after="20"/>
      </w:pPr>
    </w:p>
    <w:p w14:paraId="324F2E81">
      <w:pPr>
        <w:pStyle w:val="4"/>
        <w:keepNext/>
        <w:widowControl/>
        <w:spacing w:before="140" w:after="60" w:line="276" w:lineRule="auto"/>
      </w:pPr>
      <w:r>
        <w:rPr>
          <w:rFonts w:ascii="Times New Roman" w:hAnsi="Times New Roman" w:eastAsia="Noto Sans CJK SC"/>
          <w:b/>
          <w:sz w:val="26"/>
        </w:rPr>
        <w:t>6.4 当前最重要的阶段性结论</w:t>
      </w:r>
    </w:p>
    <w:p w14:paraId="0DBF2E19">
      <w:pPr>
        <w:pStyle w:val="16"/>
        <w:widowControl/>
        <w:spacing w:after="60" w:line="324" w:lineRule="auto"/>
        <w:ind w:left="454" w:hanging="198"/>
      </w:pPr>
      <w:r>
        <w:rPr>
          <w:rFonts w:ascii="Times New Roman" w:hAnsi="Times New Roman" w:eastAsia="Noto Serif CJK SC"/>
          <w:sz w:val="22"/>
        </w:rPr>
        <w:t>Grounding DINO V1仍是最稳健的低成本自动标签基线，自动生产流程已具备实际训练价值。</w:t>
      </w:r>
    </w:p>
    <w:p w14:paraId="266EB3DA">
      <w:pPr>
        <w:pStyle w:val="16"/>
        <w:widowControl/>
        <w:spacing w:after="60" w:line="324" w:lineRule="auto"/>
        <w:ind w:left="454" w:hanging="198"/>
      </w:pPr>
      <w:r>
        <w:rPr>
          <w:rFonts w:ascii="Times New Roman" w:hAnsi="Times New Roman" w:eastAsia="Noto Serif CJK SC"/>
          <w:sz w:val="22"/>
        </w:rPr>
        <w:t>SAM3值得保留为第二教师研究对象，但其最有潜力的角色是“语义质量审核”，而不是无条件补漏或接管框定位。</w:t>
      </w:r>
    </w:p>
    <w:p w14:paraId="3B204E1E">
      <w:pPr>
        <w:pStyle w:val="16"/>
        <w:widowControl/>
        <w:spacing w:after="60" w:line="324" w:lineRule="auto"/>
        <w:ind w:left="454" w:hanging="198"/>
      </w:pPr>
      <w:r>
        <w:rPr>
          <w:rFonts w:ascii="Times New Roman" w:hAnsi="Times New Roman" w:eastAsia="Noto Serif CJK SC"/>
          <w:sz w:val="22"/>
        </w:rPr>
        <w:t>Exp2A的Recall从0.6216提高至0.6609，但mAP50仅提高0.42个百分点且mAP50:95下降0.46个百分点，不能据此宣布稳定提升，必须用多seed和开发集阈值实验验证。</w:t>
      </w:r>
    </w:p>
    <w:p w14:paraId="3308E936">
      <w:pPr>
        <w:pStyle w:val="16"/>
        <w:widowControl/>
        <w:spacing w:after="60" w:line="324" w:lineRule="auto"/>
        <w:ind w:left="454" w:hanging="198"/>
      </w:pPr>
      <w:r>
        <w:rPr>
          <w:rFonts w:ascii="Times New Roman" w:hAnsi="Times New Roman" w:eastAsia="Noto Serif CJK SC"/>
          <w:sz w:val="22"/>
        </w:rPr>
        <w:t>Exp2B说明当前全图Append准入规则不足；Exp2C说明mask框与检测框规范存在明显不一致，后续不应优先投入Box Refinement全量实验。</w:t>
      </w:r>
    </w:p>
    <w:p w14:paraId="2B44764D">
      <w:pPr>
        <w:pStyle w:val="16"/>
        <w:widowControl/>
        <w:spacing w:after="60" w:line="324" w:lineRule="auto"/>
        <w:ind w:left="454" w:hanging="198"/>
      </w:pPr>
      <w:r>
        <w:rPr>
          <w:rFonts w:ascii="Times New Roman" w:hAnsi="Times New Roman" w:eastAsia="Noto Serif CJK SC"/>
          <w:sz w:val="22"/>
        </w:rPr>
        <w:t>今天的结果强化了论文的MEM核心：更复杂的教师级联不等于更高价值，第二教师必须被当作需要经济性和质量门槛论证的项目资源。</w:t>
      </w:r>
    </w:p>
    <w:tbl>
      <w:tblPr>
        <w:tblStyle w:val="32"/>
        <w:tblW w:w="0" w:type="auto"/>
        <w:jc w:val="center"/>
        <w:tblLayout w:type="fixed"/>
        <w:tblCellMar>
          <w:top w:w="0" w:type="dxa"/>
          <w:left w:w="108" w:type="dxa"/>
          <w:bottom w:w="0" w:type="dxa"/>
          <w:right w:w="108" w:type="dxa"/>
        </w:tblCellMar>
      </w:tblPr>
      <w:tblGrid>
        <w:gridCol w:w="8957"/>
      </w:tblGrid>
      <w:tr w14:paraId="5C0712C8">
        <w:tblPrEx>
          <w:tblCellMar>
            <w:top w:w="0" w:type="dxa"/>
            <w:left w:w="108" w:type="dxa"/>
            <w:bottom w:w="0" w:type="dxa"/>
            <w:right w:w="108" w:type="dxa"/>
          </w:tblCellMar>
        </w:tblPrEx>
        <w:trPr>
          <w:jc w:val="center"/>
        </w:trPr>
        <w:tc>
          <w:tcPr>
            <w:tcW w:w="9292" w:type="dxa"/>
            <w:shd w:val="clear" w:color="auto" w:fill="FFF4D8"/>
            <w:tcMar>
              <w:top w:w="150" w:type="dxa"/>
              <w:left w:w="180" w:type="dxa"/>
              <w:bottom w:w="150" w:type="dxa"/>
              <w:right w:w="180" w:type="dxa"/>
            </w:tcMar>
          </w:tcPr>
          <w:p w14:paraId="0D030DDC">
            <w:pPr>
              <w:spacing w:after="60"/>
            </w:pPr>
            <w:r>
              <w:rPr>
                <w:rFonts w:ascii="Times New Roman" w:hAnsi="Times New Roman" w:eastAsia="Noto Sans CJK SC"/>
                <w:b/>
                <w:sz w:val="20"/>
              </w:rPr>
              <w:t>对“双教师论文能否成立”的回答</w:t>
            </w:r>
          </w:p>
          <w:p w14:paraId="7965EABB">
            <w:pPr>
              <w:spacing w:after="0" w:line="324" w:lineRule="auto"/>
            </w:pPr>
            <w:r>
              <w:rPr>
                <w:rFonts w:ascii="Times New Roman" w:hAnsi="Times New Roman" w:eastAsia="Noto Serif CJK SC"/>
                <w:sz w:val="20"/>
              </w:rPr>
              <w:t>可以成立，而且当前负结果反而使研究问题更清晰。论文不把“双教师”写成必须成功的技术方案，而写成“主教师生产 + 第二教师质量门槛 + 下游效用验证 + 资源决策”的管理机制。SAM3若有效，结论是何种角色/阈值值得升级；若无效，结论是识别其适用边界并证明何时应停止级联。两种结局都回答同一RQ3/RQ4。</w:t>
            </w:r>
          </w:p>
        </w:tc>
      </w:tr>
    </w:tbl>
    <w:p w14:paraId="64E96314">
      <w:pPr>
        <w:widowControl/>
        <w:spacing w:after="20"/>
      </w:pPr>
    </w:p>
    <w:p w14:paraId="38503C5F">
      <w:pPr>
        <w:pStyle w:val="3"/>
        <w:keepNext/>
        <w:widowControl/>
        <w:spacing w:before="200" w:after="100" w:line="276" w:lineRule="auto"/>
      </w:pPr>
      <w:r>
        <w:rPr>
          <w:rFonts w:ascii="Times New Roman" w:hAnsi="Times New Roman" w:eastAsia="Noto Sans CJK SC"/>
          <w:b/>
          <w:sz w:val="32"/>
        </w:rPr>
        <w:t>七、质量成本、资源配置与升级/停止规则</w:t>
      </w:r>
    </w:p>
    <w:p w14:paraId="1C494D60">
      <w:pPr>
        <w:pStyle w:val="4"/>
        <w:keepNext/>
        <w:widowControl/>
        <w:spacing w:before="140" w:after="60" w:line="276" w:lineRule="auto"/>
      </w:pPr>
      <w:r>
        <w:rPr>
          <w:rFonts w:ascii="Times New Roman" w:hAnsi="Times New Roman" w:eastAsia="Noto Sans CJK SC"/>
          <w:b/>
          <w:sz w:val="26"/>
        </w:rPr>
        <w:t>7.1 成本边界与计量口径</w:t>
      </w:r>
    </w:p>
    <w:p w14:paraId="5C588DF9">
      <w:pPr>
        <w:widowControl/>
        <w:spacing w:before="0" w:after="100" w:line="360" w:lineRule="auto"/>
        <w:ind w:firstLine="420"/>
        <w:jc w:val="both"/>
      </w:pPr>
      <w:r>
        <w:rPr>
          <w:rFonts w:ascii="Times New Roman" w:hAnsi="Times New Roman" w:eastAsia="Noto Serif CJK SC"/>
          <w:sz w:val="22"/>
        </w:rPr>
        <w:t>成本核算坚持“先记录真实资源、再做货币化敏感性”。至少记录Grounding DINO推理GPU小时、SAM3推理GPU小时、YOLO训练GPU小时、CPU预处理小时、人工抽检/返工小时、全量调用次数、重训次数、标签版本数和从数据输入到可训练标签的交付周期。</w:t>
      </w:r>
    </w:p>
    <w:p w14:paraId="7713E565">
      <w:pPr>
        <w:widowControl/>
        <w:spacing w:before="0" w:after="100" w:line="360" w:lineRule="auto"/>
        <w:ind w:firstLine="420"/>
        <w:jc w:val="both"/>
      </w:pPr>
      <w:r>
        <w:rPr>
          <w:rFonts w:ascii="Times New Roman" w:hAnsi="Times New Roman" w:eastAsia="Noto Serif CJK SC"/>
          <w:sz w:val="22"/>
        </w:rPr>
        <w:t>外部失败风险不进行主观金额估计。由于火烟检测具有安全属性，论文仅将关键FN、Recall、mAP以及特定高风险场景的漏检作为交付质量约束。这样既保留COQ理论映射，也避免使用缺乏事实基础的“事故损失货币化”。</w:t>
      </w:r>
    </w:p>
    <w:p w14:paraId="291F1CF7">
      <w:pPr>
        <w:pStyle w:val="4"/>
        <w:keepNext/>
        <w:widowControl/>
        <w:spacing w:before="140" w:after="60" w:line="276" w:lineRule="auto"/>
      </w:pPr>
      <w:r>
        <w:rPr>
          <w:rFonts w:ascii="Times New Roman" w:hAnsi="Times New Roman" w:eastAsia="Noto Sans CJK SC"/>
          <w:b/>
          <w:sz w:val="26"/>
        </w:rPr>
        <w:t>7.2 方案成本函数与边际收益</w:t>
      </w:r>
    </w:p>
    <w:p w14:paraId="741D4E5E">
      <w:pPr>
        <w:widowControl/>
        <w:spacing w:before="60" w:after="60"/>
        <w:jc w:val="center"/>
      </w:pPr>
      <w:r>
        <w:rPr>
          <w:rFonts w:ascii="Times New Roman" w:hAnsi="Times New Roman" w:eastAsia="Noto Serif CJK SC"/>
          <w:i/>
          <w:sz w:val="22"/>
        </w:rPr>
        <w:t>C(j) = C_GPU(j) + C_CPU(j) + C_human(j) + C_retrain(j) + C_rework(j)</w:t>
      </w:r>
    </w:p>
    <w:p w14:paraId="3DFF6495">
      <w:pPr>
        <w:widowControl/>
        <w:spacing w:before="0" w:after="100" w:line="360" w:lineRule="auto"/>
        <w:ind w:firstLine="420"/>
        <w:jc w:val="both"/>
      </w:pPr>
      <w:r>
        <w:rPr>
          <w:rFonts w:ascii="Times New Roman" w:hAnsi="Times New Roman" w:eastAsia="Noto Serif CJK SC"/>
          <w:sz w:val="22"/>
        </w:rPr>
        <w:t>其中各成本先以小时、次数等物理量报告；如需人民币情景分析，再使用区间单价进行敏感性计算。对每个候选方案同时报告ΔmAP、ΔRecall、Δ成本和ME，禁止只报告精度不报告投入。</w:t>
      </w:r>
    </w:p>
    <w:p w14:paraId="6C15AA04">
      <w:pPr>
        <w:pStyle w:val="4"/>
        <w:keepNext/>
        <w:widowControl/>
        <w:spacing w:before="140" w:after="60" w:line="276" w:lineRule="auto"/>
      </w:pPr>
      <w:r>
        <w:rPr>
          <w:rFonts w:ascii="Times New Roman" w:hAnsi="Times New Roman" w:eastAsia="Noto Sans CJK SC"/>
          <w:b/>
          <w:sz w:val="26"/>
        </w:rPr>
        <w:t>7.3 Pareto资源配置</w:t>
      </w:r>
    </w:p>
    <w:p w14:paraId="5F0D635D">
      <w:pPr>
        <w:widowControl/>
        <w:spacing w:before="0" w:after="100" w:line="360" w:lineRule="auto"/>
        <w:ind w:firstLine="420"/>
        <w:jc w:val="both"/>
      </w:pPr>
      <w:r>
        <w:rPr>
          <w:rFonts w:ascii="Times New Roman" w:hAnsi="Times New Roman" w:eastAsia="Noto Serif CJK SC"/>
          <w:sz w:val="22"/>
        </w:rPr>
        <w:t>若方案A在成本不高于B的同时，Precision、Recall、mAP@0.5和mAP@0.5:0.95至少不差，并在其中一项更好，则B被A支配，可直接剔除。非支配方案进入Pareto前沿。最终给出三类管理情景：质量优先（关注Recall与mAP@0.5:0.95）、成本优先（关注标签生成和重训成本）、均衡情景（关注非支配方案中的边际效率）。</w:t>
      </w:r>
    </w:p>
    <w:p w14:paraId="19B7A7AA">
      <w:pPr>
        <w:widowControl/>
        <w:spacing w:before="80" w:after="80"/>
        <w:jc w:val="center"/>
      </w:pPr>
      <w:r>
        <w:rPr>
          <w:rFonts w:ascii="Times New Roman" w:hAnsi="Times New Roman" w:eastAsia="Noto Sans CJK SC"/>
          <w:b/>
          <w:sz w:val="18"/>
        </w:rPr>
        <w:t>表7-1  资源配置情景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2323"/>
        <w:gridCol w:w="2323"/>
        <w:gridCol w:w="2323"/>
      </w:tblGrid>
      <w:tr w14:paraId="5E0F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shd w:val="clear" w:color="auto" w:fill="D9EAF7"/>
            <w:tcMar>
              <w:top w:w="110" w:type="dxa"/>
              <w:left w:w="100" w:type="dxa"/>
              <w:bottom w:w="110" w:type="dxa"/>
              <w:right w:w="100" w:type="dxa"/>
            </w:tcMar>
            <w:vAlign w:val="center"/>
          </w:tcPr>
          <w:p w14:paraId="005D1354">
            <w:pPr>
              <w:spacing w:after="0" w:line="240" w:lineRule="auto"/>
              <w:jc w:val="center"/>
            </w:pPr>
            <w:r>
              <w:rPr>
                <w:rFonts w:ascii="Times New Roman" w:hAnsi="Times New Roman" w:eastAsia="Noto Sans CJK SC"/>
                <w:b/>
                <w:sz w:val="17"/>
              </w:rPr>
              <w:t>情景</w:t>
            </w:r>
          </w:p>
        </w:tc>
        <w:tc>
          <w:tcPr>
            <w:tcW w:w="2608" w:type="dxa"/>
            <w:shd w:val="clear" w:color="auto" w:fill="D9EAF7"/>
            <w:tcMar>
              <w:top w:w="110" w:type="dxa"/>
              <w:left w:w="100" w:type="dxa"/>
              <w:bottom w:w="110" w:type="dxa"/>
              <w:right w:w="100" w:type="dxa"/>
            </w:tcMar>
            <w:vAlign w:val="center"/>
          </w:tcPr>
          <w:p w14:paraId="44D3F108">
            <w:pPr>
              <w:spacing w:after="0" w:line="240" w:lineRule="auto"/>
              <w:jc w:val="center"/>
            </w:pPr>
            <w:r>
              <w:rPr>
                <w:rFonts w:ascii="Times New Roman" w:hAnsi="Times New Roman" w:eastAsia="Noto Sans CJK SC"/>
                <w:b/>
                <w:sz w:val="17"/>
              </w:rPr>
              <w:t>业务特征</w:t>
            </w:r>
          </w:p>
        </w:tc>
        <w:tc>
          <w:tcPr>
            <w:tcW w:w="2268" w:type="dxa"/>
            <w:shd w:val="clear" w:color="auto" w:fill="D9EAF7"/>
            <w:tcMar>
              <w:top w:w="110" w:type="dxa"/>
              <w:left w:w="100" w:type="dxa"/>
              <w:bottom w:w="110" w:type="dxa"/>
              <w:right w:w="100" w:type="dxa"/>
            </w:tcMar>
            <w:vAlign w:val="center"/>
          </w:tcPr>
          <w:p w14:paraId="5EE0D314">
            <w:pPr>
              <w:spacing w:after="0" w:line="240" w:lineRule="auto"/>
              <w:jc w:val="center"/>
            </w:pPr>
            <w:r>
              <w:rPr>
                <w:rFonts w:ascii="Times New Roman" w:hAnsi="Times New Roman" w:eastAsia="Noto Sans CJK SC"/>
                <w:b/>
                <w:sz w:val="17"/>
              </w:rPr>
              <w:t>核心指标</w:t>
            </w:r>
          </w:p>
        </w:tc>
        <w:tc>
          <w:tcPr>
            <w:tcW w:w="2551" w:type="dxa"/>
            <w:shd w:val="clear" w:color="auto" w:fill="D9EAF7"/>
            <w:tcMar>
              <w:top w:w="110" w:type="dxa"/>
              <w:left w:w="100" w:type="dxa"/>
              <w:bottom w:w="110" w:type="dxa"/>
              <w:right w:w="100" w:type="dxa"/>
            </w:tcMar>
            <w:vAlign w:val="center"/>
          </w:tcPr>
          <w:p w14:paraId="1DFA399C">
            <w:pPr>
              <w:spacing w:after="0" w:line="240" w:lineRule="auto"/>
              <w:jc w:val="center"/>
            </w:pPr>
            <w:r>
              <w:rPr>
                <w:rFonts w:ascii="Times New Roman" w:hAnsi="Times New Roman" w:eastAsia="Noto Sans CJK SC"/>
                <w:b/>
                <w:sz w:val="17"/>
              </w:rPr>
              <w:t>配置原则</w:t>
            </w:r>
          </w:p>
        </w:tc>
      </w:tr>
      <w:tr w14:paraId="5119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3EEBFD98">
            <w:pPr>
              <w:spacing w:after="0" w:line="276" w:lineRule="auto"/>
              <w:jc w:val="center"/>
            </w:pPr>
            <w:r>
              <w:rPr>
                <w:rFonts w:ascii="Times New Roman" w:hAnsi="Times New Roman" w:eastAsia="Noto Serif CJK SC"/>
                <w:sz w:val="17"/>
              </w:rPr>
              <w:t>质量优先</w:t>
            </w:r>
          </w:p>
        </w:tc>
        <w:tc>
          <w:tcPr>
            <w:tcW w:w="2608" w:type="dxa"/>
            <w:tcMar>
              <w:top w:w="90" w:type="dxa"/>
              <w:left w:w="100" w:type="dxa"/>
              <w:bottom w:w="90" w:type="dxa"/>
              <w:right w:w="100" w:type="dxa"/>
            </w:tcMar>
            <w:vAlign w:val="center"/>
          </w:tcPr>
          <w:p w14:paraId="62ECC762">
            <w:pPr>
              <w:spacing w:after="0" w:line="276" w:lineRule="auto"/>
              <w:jc w:val="left"/>
            </w:pPr>
            <w:r>
              <w:rPr>
                <w:rFonts w:ascii="Times New Roman" w:hAnsi="Times New Roman" w:eastAsia="Noto Serif CJK SC"/>
                <w:sz w:val="17"/>
              </w:rPr>
              <w:t>关键场景漏检成本高；允许增加GPU</w:t>
            </w:r>
          </w:p>
        </w:tc>
        <w:tc>
          <w:tcPr>
            <w:tcW w:w="2268" w:type="dxa"/>
            <w:tcMar>
              <w:top w:w="90" w:type="dxa"/>
              <w:left w:w="100" w:type="dxa"/>
              <w:bottom w:w="90" w:type="dxa"/>
              <w:right w:w="100" w:type="dxa"/>
            </w:tcMar>
            <w:vAlign w:val="center"/>
          </w:tcPr>
          <w:p w14:paraId="33365CAE">
            <w:pPr>
              <w:spacing w:after="0" w:line="276" w:lineRule="auto"/>
              <w:jc w:val="left"/>
            </w:pPr>
            <w:r>
              <w:rPr>
                <w:rFonts w:ascii="Times New Roman" w:hAnsi="Times New Roman" w:eastAsia="Noto Serif CJK SC"/>
                <w:sz w:val="17"/>
              </w:rPr>
              <w:t>优先Recall、mAP50:95，成本作为约束</w:t>
            </w:r>
          </w:p>
        </w:tc>
        <w:tc>
          <w:tcPr>
            <w:tcW w:w="2551" w:type="dxa"/>
            <w:tcMar>
              <w:top w:w="90" w:type="dxa"/>
              <w:left w:w="100" w:type="dxa"/>
              <w:bottom w:w="90" w:type="dxa"/>
              <w:right w:w="100" w:type="dxa"/>
            </w:tcMar>
            <w:vAlign w:val="center"/>
          </w:tcPr>
          <w:p w14:paraId="0A46C098">
            <w:pPr>
              <w:spacing w:after="0" w:line="276" w:lineRule="auto"/>
              <w:jc w:val="left"/>
            </w:pPr>
            <w:r>
              <w:rPr>
                <w:rFonts w:ascii="Times New Roman" w:hAnsi="Times New Roman" w:eastAsia="Noto Serif CJK SC"/>
                <w:sz w:val="17"/>
              </w:rPr>
              <w:t>只有第二教师产生稳定质量增益才升级</w:t>
            </w:r>
          </w:p>
        </w:tc>
      </w:tr>
      <w:tr w14:paraId="5C0A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55474AAC">
            <w:pPr>
              <w:spacing w:after="0" w:line="276" w:lineRule="auto"/>
              <w:jc w:val="center"/>
            </w:pPr>
            <w:r>
              <w:rPr>
                <w:rFonts w:ascii="Times New Roman" w:hAnsi="Times New Roman" w:eastAsia="Noto Serif CJK SC"/>
                <w:sz w:val="17"/>
              </w:rPr>
              <w:t>成本优先</w:t>
            </w:r>
          </w:p>
        </w:tc>
        <w:tc>
          <w:tcPr>
            <w:tcW w:w="2608" w:type="dxa"/>
            <w:tcMar>
              <w:top w:w="90" w:type="dxa"/>
              <w:left w:w="100" w:type="dxa"/>
              <w:bottom w:w="90" w:type="dxa"/>
              <w:right w:w="100" w:type="dxa"/>
            </w:tcMar>
            <w:vAlign w:val="center"/>
          </w:tcPr>
          <w:p w14:paraId="5CE8A89C">
            <w:pPr>
              <w:spacing w:after="0" w:line="276" w:lineRule="auto"/>
              <w:jc w:val="left"/>
            </w:pPr>
            <w:r>
              <w:rPr>
                <w:rFonts w:ascii="Times New Roman" w:hAnsi="Times New Roman" w:eastAsia="Noto Serif CJK SC"/>
                <w:sz w:val="17"/>
              </w:rPr>
              <w:t>快速冷启动、频繁迭代</w:t>
            </w:r>
          </w:p>
        </w:tc>
        <w:tc>
          <w:tcPr>
            <w:tcW w:w="2268" w:type="dxa"/>
            <w:tcMar>
              <w:top w:w="90" w:type="dxa"/>
              <w:left w:w="100" w:type="dxa"/>
              <w:bottom w:w="90" w:type="dxa"/>
              <w:right w:w="100" w:type="dxa"/>
            </w:tcMar>
            <w:vAlign w:val="center"/>
          </w:tcPr>
          <w:p w14:paraId="2B64BC7B">
            <w:pPr>
              <w:spacing w:after="0" w:line="276" w:lineRule="auto"/>
              <w:jc w:val="left"/>
            </w:pPr>
            <w:r>
              <w:rPr>
                <w:rFonts w:ascii="Times New Roman" w:hAnsi="Times New Roman" w:eastAsia="Noto Serif CJK SC"/>
                <w:sz w:val="17"/>
              </w:rPr>
              <w:t>优先标签工时、GPU小时、交付周期</w:t>
            </w:r>
          </w:p>
        </w:tc>
        <w:tc>
          <w:tcPr>
            <w:tcW w:w="2551" w:type="dxa"/>
            <w:tcMar>
              <w:top w:w="90" w:type="dxa"/>
              <w:left w:w="100" w:type="dxa"/>
              <w:bottom w:w="90" w:type="dxa"/>
              <w:right w:w="100" w:type="dxa"/>
            </w:tcMar>
            <w:vAlign w:val="center"/>
          </w:tcPr>
          <w:p w14:paraId="19C34E3E">
            <w:pPr>
              <w:spacing w:after="0" w:line="276" w:lineRule="auto"/>
              <w:jc w:val="left"/>
            </w:pPr>
            <w:r>
              <w:rPr>
                <w:rFonts w:ascii="Times New Roman" w:hAnsi="Times New Roman" w:eastAsia="Noto Serif CJK SC"/>
                <w:sz w:val="17"/>
              </w:rPr>
              <w:t>若SAM3增益未超过噪声，冻结DINO V1</w:t>
            </w:r>
          </w:p>
        </w:tc>
      </w:tr>
      <w:tr w14:paraId="1168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0B744710">
            <w:pPr>
              <w:spacing w:after="0" w:line="276" w:lineRule="auto"/>
              <w:jc w:val="center"/>
            </w:pPr>
            <w:r>
              <w:rPr>
                <w:rFonts w:ascii="Times New Roman" w:hAnsi="Times New Roman" w:eastAsia="Noto Serif CJK SC"/>
                <w:sz w:val="17"/>
              </w:rPr>
              <w:t>均衡情景</w:t>
            </w:r>
          </w:p>
        </w:tc>
        <w:tc>
          <w:tcPr>
            <w:tcW w:w="2608" w:type="dxa"/>
            <w:tcMar>
              <w:top w:w="90" w:type="dxa"/>
              <w:left w:w="100" w:type="dxa"/>
              <w:bottom w:w="90" w:type="dxa"/>
              <w:right w:w="100" w:type="dxa"/>
            </w:tcMar>
            <w:vAlign w:val="center"/>
          </w:tcPr>
          <w:p w14:paraId="1A299993">
            <w:pPr>
              <w:spacing w:after="0" w:line="276" w:lineRule="auto"/>
              <w:jc w:val="left"/>
            </w:pPr>
            <w:r>
              <w:rPr>
                <w:rFonts w:ascii="Times New Roman" w:hAnsi="Times New Roman" w:eastAsia="Noto Serif CJK SC"/>
                <w:sz w:val="17"/>
              </w:rPr>
              <w:t>常规生产</w:t>
            </w:r>
          </w:p>
        </w:tc>
        <w:tc>
          <w:tcPr>
            <w:tcW w:w="2268" w:type="dxa"/>
            <w:tcMar>
              <w:top w:w="90" w:type="dxa"/>
              <w:left w:w="100" w:type="dxa"/>
              <w:bottom w:w="90" w:type="dxa"/>
              <w:right w:w="100" w:type="dxa"/>
            </w:tcMar>
            <w:vAlign w:val="center"/>
          </w:tcPr>
          <w:p w14:paraId="4CDBFD53">
            <w:pPr>
              <w:spacing w:after="0" w:line="276" w:lineRule="auto"/>
              <w:jc w:val="left"/>
            </w:pPr>
            <w:r>
              <w:rPr>
                <w:rFonts w:ascii="Times New Roman" w:hAnsi="Times New Roman" w:eastAsia="Noto Serif CJK SC"/>
                <w:sz w:val="17"/>
              </w:rPr>
              <w:t>Pareto前沿 + 边际效率ME</w:t>
            </w:r>
          </w:p>
        </w:tc>
        <w:tc>
          <w:tcPr>
            <w:tcW w:w="2551" w:type="dxa"/>
            <w:tcMar>
              <w:top w:w="90" w:type="dxa"/>
              <w:left w:w="100" w:type="dxa"/>
              <w:bottom w:w="90" w:type="dxa"/>
              <w:right w:w="100" w:type="dxa"/>
            </w:tcMar>
            <w:vAlign w:val="center"/>
          </w:tcPr>
          <w:p w14:paraId="6884AA47">
            <w:pPr>
              <w:spacing w:after="0" w:line="276" w:lineRule="auto"/>
              <w:jc w:val="left"/>
            </w:pPr>
            <w:r>
              <w:rPr>
                <w:rFonts w:ascii="Times New Roman" w:hAnsi="Times New Roman" w:eastAsia="Noto Serif CJK SC"/>
                <w:sz w:val="17"/>
              </w:rPr>
              <w:t>选择每单位新增成本带来最大实际效用的方案</w:t>
            </w:r>
          </w:p>
        </w:tc>
      </w:tr>
    </w:tbl>
    <w:p w14:paraId="050C08DF">
      <w:pPr>
        <w:widowControl/>
        <w:spacing w:after="20"/>
      </w:pPr>
    </w:p>
    <w:p w14:paraId="49DBAA4F">
      <w:pPr>
        <w:pStyle w:val="4"/>
        <w:keepNext/>
        <w:widowControl/>
        <w:spacing w:before="140" w:after="60" w:line="276" w:lineRule="auto"/>
      </w:pPr>
      <w:r>
        <w:rPr>
          <w:rFonts w:ascii="Times New Roman" w:hAnsi="Times New Roman" w:eastAsia="Noto Sans CJK SC"/>
          <w:b/>
          <w:sz w:val="26"/>
        </w:rPr>
        <w:t>7.4 预注册式升级/停止规则</w:t>
      </w:r>
    </w:p>
    <w:p w14:paraId="53D4E620">
      <w:pPr>
        <w:widowControl/>
        <w:spacing w:before="80" w:after="80"/>
        <w:jc w:val="center"/>
      </w:pPr>
      <w:r>
        <w:rPr>
          <w:rFonts w:ascii="Times New Roman" w:hAnsi="Times New Roman" w:eastAsia="Noto Sans CJK SC"/>
          <w:b/>
          <w:sz w:val="18"/>
        </w:rPr>
        <w:t>表7-2  升级与停止规则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3917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110" w:type="dxa"/>
              <w:left w:w="100" w:type="dxa"/>
              <w:bottom w:w="110" w:type="dxa"/>
              <w:right w:w="100" w:type="dxa"/>
            </w:tcMar>
            <w:vAlign w:val="center"/>
          </w:tcPr>
          <w:p w14:paraId="4E3C9F8B">
            <w:pPr>
              <w:spacing w:after="0" w:line="240" w:lineRule="auto"/>
              <w:jc w:val="center"/>
            </w:pPr>
            <w:r>
              <w:rPr>
                <w:rFonts w:ascii="Times New Roman" w:hAnsi="Times New Roman" w:eastAsia="Noto Sans CJK SC"/>
                <w:b/>
                <w:sz w:val="17"/>
              </w:rPr>
              <w:t>规则</w:t>
            </w:r>
          </w:p>
        </w:tc>
        <w:tc>
          <w:tcPr>
            <w:tcW w:w="4592" w:type="dxa"/>
            <w:shd w:val="clear" w:color="auto" w:fill="D9EAF7"/>
            <w:tcMar>
              <w:top w:w="110" w:type="dxa"/>
              <w:left w:w="100" w:type="dxa"/>
              <w:bottom w:w="110" w:type="dxa"/>
              <w:right w:w="100" w:type="dxa"/>
            </w:tcMar>
            <w:vAlign w:val="center"/>
          </w:tcPr>
          <w:p w14:paraId="76E61C14">
            <w:pPr>
              <w:spacing w:after="0" w:line="240" w:lineRule="auto"/>
              <w:jc w:val="center"/>
            </w:pPr>
            <w:r>
              <w:rPr>
                <w:rFonts w:ascii="Times New Roman" w:hAnsi="Times New Roman" w:eastAsia="Noto Sans CJK SC"/>
                <w:b/>
                <w:sz w:val="17"/>
              </w:rPr>
              <w:t>触发条件</w:t>
            </w:r>
          </w:p>
        </w:tc>
        <w:tc>
          <w:tcPr>
            <w:tcW w:w="2324" w:type="dxa"/>
            <w:shd w:val="clear" w:color="auto" w:fill="D9EAF7"/>
            <w:tcMar>
              <w:top w:w="110" w:type="dxa"/>
              <w:left w:w="100" w:type="dxa"/>
              <w:bottom w:w="110" w:type="dxa"/>
              <w:right w:w="100" w:type="dxa"/>
            </w:tcMar>
            <w:vAlign w:val="center"/>
          </w:tcPr>
          <w:p w14:paraId="3096D67A">
            <w:pPr>
              <w:spacing w:after="0" w:line="240" w:lineRule="auto"/>
              <w:jc w:val="center"/>
            </w:pPr>
            <w:r>
              <w:rPr>
                <w:rFonts w:ascii="Times New Roman" w:hAnsi="Times New Roman" w:eastAsia="Noto Sans CJK SC"/>
                <w:b/>
                <w:sz w:val="17"/>
              </w:rPr>
              <w:t>管理动作</w:t>
            </w:r>
          </w:p>
        </w:tc>
      </w:tr>
      <w:tr w14:paraId="0E5D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799E0591">
            <w:pPr>
              <w:spacing w:after="0" w:line="276" w:lineRule="auto"/>
              <w:jc w:val="left"/>
            </w:pPr>
            <w:r>
              <w:rPr>
                <w:rFonts w:ascii="Times New Roman" w:hAnsi="Times New Roman" w:eastAsia="Noto Serif CJK SC"/>
                <w:sz w:val="17"/>
              </w:rPr>
              <w:t>规则S1：无实际增益停止</w:t>
            </w:r>
          </w:p>
        </w:tc>
        <w:tc>
          <w:tcPr>
            <w:tcW w:w="4592" w:type="dxa"/>
            <w:tcMar>
              <w:top w:w="90" w:type="dxa"/>
              <w:left w:w="100" w:type="dxa"/>
              <w:bottom w:w="90" w:type="dxa"/>
              <w:right w:w="100" w:type="dxa"/>
            </w:tcMar>
            <w:vAlign w:val="center"/>
          </w:tcPr>
          <w:p w14:paraId="70A2139F">
            <w:pPr>
              <w:spacing w:after="0" w:line="276" w:lineRule="auto"/>
              <w:jc w:val="left"/>
            </w:pPr>
            <w:r>
              <w:rPr>
                <w:rFonts w:ascii="Times New Roman" w:hAnsi="Times New Roman" w:eastAsia="Noto Serif CJK SC"/>
                <w:sz w:val="17"/>
              </w:rPr>
              <w:t>候选ΔmAP未超过E1多seed波动或0.5个百分点，同时成本上升</w:t>
            </w:r>
          </w:p>
        </w:tc>
        <w:tc>
          <w:tcPr>
            <w:tcW w:w="2324" w:type="dxa"/>
            <w:tcMar>
              <w:top w:w="90" w:type="dxa"/>
              <w:left w:w="100" w:type="dxa"/>
              <w:bottom w:w="90" w:type="dxa"/>
              <w:right w:w="100" w:type="dxa"/>
            </w:tcMar>
            <w:vAlign w:val="center"/>
          </w:tcPr>
          <w:p w14:paraId="0CEB385D">
            <w:pPr>
              <w:spacing w:after="0" w:line="276" w:lineRule="auto"/>
              <w:jc w:val="left"/>
            </w:pPr>
            <w:r>
              <w:rPr>
                <w:rFonts w:ascii="Times New Roman" w:hAnsi="Times New Roman" w:eastAsia="Noto Serif CJK SC"/>
                <w:sz w:val="17"/>
              </w:rPr>
              <w:t>不进入全量</w:t>
            </w:r>
          </w:p>
        </w:tc>
      </w:tr>
      <w:tr w14:paraId="02A6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2DBBD1AE">
            <w:pPr>
              <w:spacing w:after="0" w:line="276" w:lineRule="auto"/>
              <w:jc w:val="left"/>
            </w:pPr>
            <w:r>
              <w:rPr>
                <w:rFonts w:ascii="Times New Roman" w:hAnsi="Times New Roman" w:eastAsia="Noto Serif CJK SC"/>
                <w:sz w:val="17"/>
              </w:rPr>
              <w:t>规则S2：被支配停止</w:t>
            </w:r>
          </w:p>
        </w:tc>
        <w:tc>
          <w:tcPr>
            <w:tcW w:w="4592" w:type="dxa"/>
            <w:tcMar>
              <w:top w:w="90" w:type="dxa"/>
              <w:left w:w="100" w:type="dxa"/>
              <w:bottom w:w="90" w:type="dxa"/>
              <w:right w:w="100" w:type="dxa"/>
            </w:tcMar>
            <w:vAlign w:val="center"/>
          </w:tcPr>
          <w:p w14:paraId="5D00B30C">
            <w:pPr>
              <w:spacing w:after="0" w:line="276" w:lineRule="auto"/>
              <w:jc w:val="left"/>
            </w:pPr>
            <w:r>
              <w:rPr>
                <w:rFonts w:ascii="Times New Roman" w:hAnsi="Times New Roman" w:eastAsia="Noto Serif CJK SC"/>
                <w:sz w:val="17"/>
              </w:rPr>
              <w:t>候选成本更高且所有关键效用指标不优于基线</w:t>
            </w:r>
          </w:p>
        </w:tc>
        <w:tc>
          <w:tcPr>
            <w:tcW w:w="2324" w:type="dxa"/>
            <w:tcMar>
              <w:top w:w="90" w:type="dxa"/>
              <w:left w:w="100" w:type="dxa"/>
              <w:bottom w:w="90" w:type="dxa"/>
              <w:right w:w="100" w:type="dxa"/>
            </w:tcMar>
            <w:vAlign w:val="center"/>
          </w:tcPr>
          <w:p w14:paraId="314C2EE5">
            <w:pPr>
              <w:spacing w:after="0" w:line="276" w:lineRule="auto"/>
              <w:jc w:val="left"/>
            </w:pPr>
            <w:r>
              <w:rPr>
                <w:rFonts w:ascii="Times New Roman" w:hAnsi="Times New Roman" w:eastAsia="Noto Serif CJK SC"/>
                <w:sz w:val="17"/>
              </w:rPr>
              <w:t>从Pareto候选中剔除</w:t>
            </w:r>
          </w:p>
        </w:tc>
      </w:tr>
      <w:tr w14:paraId="66D2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3D287586">
            <w:pPr>
              <w:spacing w:after="0" w:line="276" w:lineRule="auto"/>
              <w:jc w:val="left"/>
            </w:pPr>
            <w:r>
              <w:rPr>
                <w:rFonts w:ascii="Times New Roman" w:hAnsi="Times New Roman" w:eastAsia="Noto Serif CJK SC"/>
                <w:sz w:val="17"/>
              </w:rPr>
              <w:t>规则S3：定位退化停止</w:t>
            </w:r>
          </w:p>
        </w:tc>
        <w:tc>
          <w:tcPr>
            <w:tcW w:w="4592" w:type="dxa"/>
            <w:tcMar>
              <w:top w:w="90" w:type="dxa"/>
              <w:left w:w="100" w:type="dxa"/>
              <w:bottom w:w="90" w:type="dxa"/>
              <w:right w:w="100" w:type="dxa"/>
            </w:tcMar>
            <w:vAlign w:val="center"/>
          </w:tcPr>
          <w:p w14:paraId="0F4083C0">
            <w:pPr>
              <w:spacing w:after="0" w:line="276" w:lineRule="auto"/>
              <w:jc w:val="left"/>
            </w:pPr>
            <w:r>
              <w:rPr>
                <w:rFonts w:ascii="Times New Roman" w:hAnsi="Times New Roman" w:eastAsia="Noto Serif CJK SC"/>
                <w:sz w:val="17"/>
              </w:rPr>
              <w:t>mAP50:95显著下降或人工抽检显示框粒度系统偏差</w:t>
            </w:r>
          </w:p>
        </w:tc>
        <w:tc>
          <w:tcPr>
            <w:tcW w:w="2324" w:type="dxa"/>
            <w:tcMar>
              <w:top w:w="90" w:type="dxa"/>
              <w:left w:w="100" w:type="dxa"/>
              <w:bottom w:w="90" w:type="dxa"/>
              <w:right w:w="100" w:type="dxa"/>
            </w:tcMar>
            <w:vAlign w:val="center"/>
          </w:tcPr>
          <w:p w14:paraId="2693307A">
            <w:pPr>
              <w:spacing w:after="0" w:line="276" w:lineRule="auto"/>
              <w:jc w:val="left"/>
            </w:pPr>
            <w:r>
              <w:rPr>
                <w:rFonts w:ascii="Times New Roman" w:hAnsi="Times New Roman" w:eastAsia="Noto Serif CJK SC"/>
                <w:sz w:val="17"/>
              </w:rPr>
              <w:t>停止Box Refinement</w:t>
            </w:r>
          </w:p>
        </w:tc>
      </w:tr>
      <w:tr w14:paraId="726F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56E00263">
            <w:pPr>
              <w:spacing w:after="0" w:line="276" w:lineRule="auto"/>
              <w:jc w:val="left"/>
            </w:pPr>
            <w:r>
              <w:rPr>
                <w:rFonts w:ascii="Times New Roman" w:hAnsi="Times New Roman" w:eastAsia="Noto Serif CJK SC"/>
                <w:sz w:val="17"/>
              </w:rPr>
              <w:t>规则S4：Append质量不足停止</w:t>
            </w:r>
          </w:p>
        </w:tc>
        <w:tc>
          <w:tcPr>
            <w:tcW w:w="4592" w:type="dxa"/>
            <w:tcMar>
              <w:top w:w="90" w:type="dxa"/>
              <w:left w:w="100" w:type="dxa"/>
              <w:bottom w:w="90" w:type="dxa"/>
              <w:right w:w="100" w:type="dxa"/>
            </w:tcMar>
            <w:vAlign w:val="center"/>
          </w:tcPr>
          <w:p w14:paraId="0330848C">
            <w:pPr>
              <w:spacing w:after="0" w:line="276" w:lineRule="auto"/>
              <w:jc w:val="left"/>
            </w:pPr>
            <w:r>
              <w:rPr>
                <w:rFonts w:ascii="Times New Roman" w:hAnsi="Times New Roman" w:eastAsia="Noto Serif CJK SC"/>
                <w:sz w:val="17"/>
              </w:rPr>
              <w:t>新增候选人工抽检Precision低于预设高门槛或重复率高</w:t>
            </w:r>
          </w:p>
        </w:tc>
        <w:tc>
          <w:tcPr>
            <w:tcW w:w="2324" w:type="dxa"/>
            <w:tcMar>
              <w:top w:w="90" w:type="dxa"/>
              <w:left w:w="100" w:type="dxa"/>
              <w:bottom w:w="90" w:type="dxa"/>
              <w:right w:w="100" w:type="dxa"/>
            </w:tcMar>
            <w:vAlign w:val="center"/>
          </w:tcPr>
          <w:p w14:paraId="46AB6649">
            <w:pPr>
              <w:spacing w:after="0" w:line="276" w:lineRule="auto"/>
              <w:jc w:val="left"/>
            </w:pPr>
            <w:r>
              <w:rPr>
                <w:rFonts w:ascii="Times New Roman" w:hAnsi="Times New Roman" w:eastAsia="Noto Serif CJK SC"/>
                <w:sz w:val="17"/>
              </w:rPr>
              <w:t>停止全量补漏</w:t>
            </w:r>
          </w:p>
        </w:tc>
      </w:tr>
      <w:tr w14:paraId="6730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72A5457A">
            <w:pPr>
              <w:spacing w:after="0" w:line="276" w:lineRule="auto"/>
              <w:jc w:val="left"/>
            </w:pPr>
            <w:r>
              <w:rPr>
                <w:rFonts w:ascii="Times New Roman" w:hAnsi="Times New Roman" w:eastAsia="Noto Serif CJK SC"/>
                <w:sz w:val="17"/>
              </w:rPr>
              <w:t>规则S5：测试集泄漏停止调参</w:t>
            </w:r>
          </w:p>
        </w:tc>
        <w:tc>
          <w:tcPr>
            <w:tcW w:w="4592" w:type="dxa"/>
            <w:tcMar>
              <w:top w:w="90" w:type="dxa"/>
              <w:left w:w="100" w:type="dxa"/>
              <w:bottom w:w="90" w:type="dxa"/>
              <w:right w:w="100" w:type="dxa"/>
            </w:tcMar>
            <w:vAlign w:val="center"/>
          </w:tcPr>
          <w:p w14:paraId="4DA03983">
            <w:pPr>
              <w:spacing w:after="0" w:line="276" w:lineRule="auto"/>
              <w:jc w:val="left"/>
            </w:pPr>
            <w:r>
              <w:rPr>
                <w:rFonts w:ascii="Times New Roman" w:hAnsi="Times New Roman" w:eastAsia="Noto Serif CJK SC"/>
                <w:sz w:val="17"/>
              </w:rPr>
              <w:t>任何方案已查看Final Holdout结果</w:t>
            </w:r>
          </w:p>
        </w:tc>
        <w:tc>
          <w:tcPr>
            <w:tcW w:w="2324" w:type="dxa"/>
            <w:tcMar>
              <w:top w:w="90" w:type="dxa"/>
              <w:left w:w="100" w:type="dxa"/>
              <w:bottom w:w="90" w:type="dxa"/>
              <w:right w:w="100" w:type="dxa"/>
            </w:tcMar>
            <w:vAlign w:val="center"/>
          </w:tcPr>
          <w:p w14:paraId="1F7CC4E3">
            <w:pPr>
              <w:spacing w:after="0" w:line="276" w:lineRule="auto"/>
              <w:jc w:val="left"/>
            </w:pPr>
            <w:r>
              <w:rPr>
                <w:rFonts w:ascii="Times New Roman" w:hAnsi="Times New Roman" w:eastAsia="Noto Serif CJK SC"/>
                <w:sz w:val="17"/>
              </w:rPr>
              <w:t>不得再修改参数；后续仅报告/复现</w:t>
            </w:r>
          </w:p>
        </w:tc>
      </w:tr>
      <w:tr w14:paraId="5BAD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214385F1">
            <w:pPr>
              <w:spacing w:after="0" w:line="276" w:lineRule="auto"/>
              <w:jc w:val="left"/>
            </w:pPr>
            <w:r>
              <w:rPr>
                <w:rFonts w:ascii="Times New Roman" w:hAnsi="Times New Roman" w:eastAsia="Noto Serif CJK SC"/>
                <w:sz w:val="17"/>
              </w:rPr>
              <w:t>规则G1：升级</w:t>
            </w:r>
          </w:p>
        </w:tc>
        <w:tc>
          <w:tcPr>
            <w:tcW w:w="4592" w:type="dxa"/>
            <w:tcMar>
              <w:top w:w="90" w:type="dxa"/>
              <w:left w:w="100" w:type="dxa"/>
              <w:bottom w:w="90" w:type="dxa"/>
              <w:right w:w="100" w:type="dxa"/>
            </w:tcMar>
            <w:vAlign w:val="center"/>
          </w:tcPr>
          <w:p w14:paraId="1529C0B3">
            <w:pPr>
              <w:spacing w:after="0" w:line="276" w:lineRule="auto"/>
              <w:jc w:val="left"/>
            </w:pPr>
            <w:r>
              <w:rPr>
                <w:rFonts w:ascii="Times New Roman" w:hAnsi="Times New Roman" w:eastAsia="Noto Serif CJK SC"/>
                <w:sz w:val="17"/>
              </w:rPr>
              <w:t>候选在Validation稳定非支配，且多seed/成本门槛通过</w:t>
            </w:r>
          </w:p>
        </w:tc>
        <w:tc>
          <w:tcPr>
            <w:tcW w:w="2324" w:type="dxa"/>
            <w:tcMar>
              <w:top w:w="90" w:type="dxa"/>
              <w:left w:w="100" w:type="dxa"/>
              <w:bottom w:w="90" w:type="dxa"/>
              <w:right w:w="100" w:type="dxa"/>
            </w:tcMar>
            <w:vAlign w:val="center"/>
          </w:tcPr>
          <w:p w14:paraId="244DE174">
            <w:pPr>
              <w:spacing w:after="0" w:line="276" w:lineRule="auto"/>
              <w:jc w:val="left"/>
            </w:pPr>
            <w:r>
              <w:rPr>
                <w:rFonts w:ascii="Times New Roman" w:hAnsi="Times New Roman" w:eastAsia="Noto Serif CJK SC"/>
                <w:sz w:val="17"/>
              </w:rPr>
              <w:t>生成V2并进入Final Holdout一次性评估</w:t>
            </w:r>
          </w:p>
        </w:tc>
      </w:tr>
    </w:tbl>
    <w:p w14:paraId="49F4268F">
      <w:pPr>
        <w:widowControl/>
        <w:spacing w:after="20"/>
      </w:pPr>
    </w:p>
    <w:p w14:paraId="7B56815C">
      <w:pPr>
        <w:pStyle w:val="3"/>
        <w:keepNext/>
        <w:widowControl/>
        <w:spacing w:before="200" w:after="100" w:line="276" w:lineRule="auto"/>
      </w:pPr>
      <w:r>
        <w:rPr>
          <w:rFonts w:ascii="Times New Roman" w:hAnsi="Times New Roman" w:eastAsia="Noto Sans CJK SC"/>
          <w:b/>
          <w:sz w:val="32"/>
        </w:rPr>
        <w:t>八、创新点、可行性与风险控制</w:t>
      </w:r>
    </w:p>
    <w:p w14:paraId="11932BCF">
      <w:pPr>
        <w:pStyle w:val="4"/>
        <w:keepNext/>
        <w:widowControl/>
        <w:spacing w:before="140" w:after="60" w:line="276" w:lineRule="auto"/>
      </w:pPr>
      <w:r>
        <w:rPr>
          <w:rFonts w:ascii="Times New Roman" w:hAnsi="Times New Roman" w:eastAsia="Noto Sans CJK SC"/>
          <w:b/>
          <w:sz w:val="26"/>
        </w:rPr>
        <w:t>8.1 预期创新点</w:t>
      </w:r>
    </w:p>
    <w:p w14:paraId="2F907D43">
      <w:pPr>
        <w:widowControl/>
        <w:spacing w:before="0" w:after="100" w:line="360" w:lineRule="auto"/>
        <w:ind w:firstLine="0"/>
        <w:jc w:val="both"/>
      </w:pPr>
      <w:r>
        <w:rPr>
          <w:rFonts w:ascii="Times New Roman" w:hAnsi="Times New Roman" w:eastAsia="Noto Serif CJK SC"/>
          <w:b/>
          <w:sz w:val="22"/>
        </w:rPr>
        <w:t>创新点1：结果中性的双教师工程管理架构。</w:t>
      </w:r>
      <w:r>
        <w:rPr>
          <w:rFonts w:ascii="Times New Roman" w:hAnsi="Times New Roman" w:eastAsia="Noto Serif CJK SC"/>
          <w:sz w:val="22"/>
        </w:rPr>
        <w:t>把SAM3从“必须有效的技术模块”重构为“受Stage-Gate控制的第二教师资源”，既能研究协同收益，也能研究停止边界。</w:t>
      </w:r>
    </w:p>
    <w:p w14:paraId="2276E931">
      <w:pPr>
        <w:widowControl/>
        <w:spacing w:before="0" w:after="100" w:line="360" w:lineRule="auto"/>
        <w:ind w:firstLine="0"/>
        <w:jc w:val="both"/>
      </w:pPr>
      <w:r>
        <w:rPr>
          <w:rFonts w:ascii="Times New Roman" w:hAnsi="Times New Roman" w:eastAsia="Noto Serif CJK SC"/>
          <w:b/>
          <w:sz w:val="22"/>
        </w:rPr>
        <w:t>创新点2：标签质量与下游效用双层评价。</w:t>
      </w:r>
      <w:r>
        <w:rPr>
          <w:rFonts w:ascii="Times New Roman" w:hAnsi="Times New Roman" w:eastAsia="Noto Serif CJK SC"/>
          <w:sz w:val="22"/>
        </w:rPr>
        <w:t>不仅比较伪标签和GT的几何差异，还以统一YOLO训练结果检验“可训练质量”，避免视觉改进不等于训练收益。</w:t>
      </w:r>
    </w:p>
    <w:p w14:paraId="4EE8AF3F">
      <w:pPr>
        <w:widowControl/>
        <w:spacing w:before="0" w:after="100" w:line="360" w:lineRule="auto"/>
        <w:ind w:firstLine="0"/>
        <w:jc w:val="both"/>
      </w:pPr>
      <w:r>
        <w:rPr>
          <w:rFonts w:ascii="Times New Roman" w:hAnsi="Times New Roman" w:eastAsia="Noto Serif CJK SC"/>
          <w:b/>
          <w:sz w:val="22"/>
        </w:rPr>
        <w:t>创新点3：COQ与Pareto驱动的模型升级决策。</w:t>
      </w:r>
      <w:r>
        <w:rPr>
          <w:rFonts w:ascii="Times New Roman" w:hAnsi="Times New Roman" w:eastAsia="Noto Serif CJK SC"/>
          <w:sz w:val="22"/>
        </w:rPr>
        <w:t>将Prompt预防、质量鉴定、返工重训和最终交付风险映射到质量成本，以边际收益和非支配关系决定是否全量调用高成本模型。</w:t>
      </w:r>
    </w:p>
    <w:p w14:paraId="59A9C6E5">
      <w:pPr>
        <w:widowControl/>
        <w:spacing w:before="0" w:after="100" w:line="360" w:lineRule="auto"/>
        <w:ind w:firstLine="0"/>
        <w:jc w:val="both"/>
      </w:pPr>
      <w:r>
        <w:rPr>
          <w:rFonts w:ascii="Times New Roman" w:hAnsi="Times New Roman" w:eastAsia="Noto Serif CJK SC"/>
          <w:b/>
          <w:sz w:val="22"/>
        </w:rPr>
        <w:t>创新点4：低预算序贯Prompt与最小追溯链。</w:t>
      </w:r>
      <w:r>
        <w:rPr>
          <w:rFonts w:ascii="Times New Roman" w:hAnsi="Times New Roman" w:eastAsia="Noto Serif CJK SC"/>
          <w:sz w:val="22"/>
        </w:rPr>
        <w:t>通过分层粗筛—复筛—冻结降低Prompt开发成本，并建立从data_version到test_report_id的可复现链。</w:t>
      </w:r>
    </w:p>
    <w:p w14:paraId="4F424D5C">
      <w:pPr>
        <w:pStyle w:val="4"/>
        <w:keepNext/>
        <w:widowControl/>
        <w:spacing w:before="140" w:after="60" w:line="276" w:lineRule="auto"/>
      </w:pPr>
      <w:r>
        <w:rPr>
          <w:rFonts w:ascii="Times New Roman" w:hAnsi="Times New Roman" w:eastAsia="Noto Sans CJK SC"/>
          <w:b/>
          <w:sz w:val="26"/>
        </w:rPr>
        <w:t>8.2 可行性分析</w:t>
      </w:r>
    </w:p>
    <w:p w14:paraId="69CBEBE2">
      <w:pPr>
        <w:pStyle w:val="16"/>
        <w:widowControl/>
        <w:spacing w:after="60" w:line="324" w:lineRule="auto"/>
        <w:ind w:left="454" w:hanging="198"/>
      </w:pPr>
      <w:r>
        <w:rPr>
          <w:rFonts w:ascii="Times New Roman" w:hAnsi="Times New Roman" w:eastAsia="Noto Serif CJK SC"/>
          <w:sz w:val="22"/>
        </w:rPr>
        <w:t>数据基础：已有2804张训练/开发图像、当前274张统一Pilot评测数据及人工GT资源，可支持误差诊断、下游验证和分层分析。</w:t>
      </w:r>
    </w:p>
    <w:p w14:paraId="651B0C8B">
      <w:pPr>
        <w:pStyle w:val="16"/>
        <w:widowControl/>
        <w:spacing w:after="60" w:line="324" w:lineRule="auto"/>
        <w:ind w:left="454" w:hanging="198"/>
      </w:pPr>
      <w:r>
        <w:rPr>
          <w:rFonts w:ascii="Times New Roman" w:hAnsi="Times New Roman" w:eastAsia="Noto Serif CJK SC"/>
          <w:sz w:val="22"/>
        </w:rPr>
        <w:t>工程基础：Grounding DINO、YOLO、SAM3均已有可运行脚本，且已完成多轮标签生成、训练和审计Pilot。</w:t>
      </w:r>
    </w:p>
    <w:p w14:paraId="23B381B8">
      <w:pPr>
        <w:pStyle w:val="16"/>
        <w:widowControl/>
        <w:spacing w:after="60" w:line="324" w:lineRule="auto"/>
        <w:ind w:left="454" w:hanging="198"/>
      </w:pPr>
      <w:r>
        <w:rPr>
          <w:rFonts w:ascii="Times New Roman" w:hAnsi="Times New Roman" w:eastAsia="Noto Serif CJK SC"/>
          <w:sz w:val="22"/>
        </w:rPr>
        <w:t>方法基础：已有Prompt评测、阈值扫描、可视化、per-image CSV和事件日志，能够支撑Stage-Gate所需证据。</w:t>
      </w:r>
    </w:p>
    <w:p w14:paraId="19E80882">
      <w:pPr>
        <w:pStyle w:val="16"/>
        <w:widowControl/>
        <w:spacing w:after="60" w:line="324" w:lineRule="auto"/>
        <w:ind w:left="454" w:hanging="198"/>
      </w:pPr>
      <w:r>
        <w:rPr>
          <w:rFonts w:ascii="Times New Roman" w:hAnsi="Times New Roman" w:eastAsia="Noto Serif CJK SC"/>
          <w:sz w:val="22"/>
        </w:rPr>
        <w:t>管理基础：GPU时长、人工工时、调用次数、返工和重训可通过日志记录，满足COQ与资源配置实证。</w:t>
      </w:r>
    </w:p>
    <w:p w14:paraId="5EC47B59">
      <w:pPr>
        <w:pStyle w:val="16"/>
        <w:widowControl/>
        <w:spacing w:after="60" w:line="324" w:lineRule="auto"/>
        <w:ind w:left="454" w:hanging="198"/>
      </w:pPr>
      <w:r>
        <w:rPr>
          <w:rFonts w:ascii="Times New Roman" w:hAnsi="Times New Roman" w:eastAsia="Noto Serif CJK SC"/>
          <w:sz w:val="22"/>
        </w:rPr>
        <w:t>结果中性：即使SAM3最终不提升mAP，仍可用负结果验证第二教师适用边界和停止规则，不影响论文主问题成立。</w:t>
      </w:r>
    </w:p>
    <w:p w14:paraId="3D589950">
      <w:pPr>
        <w:pStyle w:val="4"/>
        <w:keepNext/>
        <w:widowControl/>
        <w:spacing w:before="140" w:after="60" w:line="276" w:lineRule="auto"/>
      </w:pPr>
      <w:r>
        <w:rPr>
          <w:rFonts w:ascii="Times New Roman" w:hAnsi="Times New Roman" w:eastAsia="Noto Sans CJK SC"/>
          <w:b/>
          <w:sz w:val="26"/>
        </w:rPr>
        <w:t>8.3 主要风险与应对</w:t>
      </w:r>
    </w:p>
    <w:p w14:paraId="299855C3">
      <w:pPr>
        <w:widowControl/>
        <w:spacing w:before="80" w:after="80"/>
        <w:jc w:val="center"/>
      </w:pPr>
      <w:r>
        <w:rPr>
          <w:rFonts w:ascii="Times New Roman" w:hAnsi="Times New Roman" w:eastAsia="Noto Sans CJK SC"/>
          <w:b/>
          <w:sz w:val="18"/>
        </w:rPr>
        <w:t>表8-1  主要风险与控制措施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1EF5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shd w:val="clear" w:color="auto" w:fill="D9EAF7"/>
            <w:tcMar>
              <w:top w:w="110" w:type="dxa"/>
              <w:left w:w="100" w:type="dxa"/>
              <w:bottom w:w="110" w:type="dxa"/>
              <w:right w:w="100" w:type="dxa"/>
            </w:tcMar>
            <w:vAlign w:val="center"/>
          </w:tcPr>
          <w:p w14:paraId="3A980AAD">
            <w:pPr>
              <w:spacing w:after="0" w:line="240" w:lineRule="auto"/>
              <w:jc w:val="center"/>
            </w:pPr>
            <w:r>
              <w:rPr>
                <w:rFonts w:ascii="Times New Roman" w:hAnsi="Times New Roman" w:eastAsia="Noto Sans CJK SC"/>
                <w:b/>
                <w:sz w:val="17"/>
              </w:rPr>
              <w:t>风险</w:t>
            </w:r>
          </w:p>
        </w:tc>
        <w:tc>
          <w:tcPr>
            <w:tcW w:w="2438" w:type="dxa"/>
            <w:shd w:val="clear" w:color="auto" w:fill="D9EAF7"/>
            <w:tcMar>
              <w:top w:w="110" w:type="dxa"/>
              <w:left w:w="100" w:type="dxa"/>
              <w:bottom w:w="110" w:type="dxa"/>
              <w:right w:w="100" w:type="dxa"/>
            </w:tcMar>
            <w:vAlign w:val="center"/>
          </w:tcPr>
          <w:p w14:paraId="241B1A41">
            <w:pPr>
              <w:spacing w:after="0" w:line="240" w:lineRule="auto"/>
              <w:jc w:val="center"/>
            </w:pPr>
            <w:r>
              <w:rPr>
                <w:rFonts w:ascii="Times New Roman" w:hAnsi="Times New Roman" w:eastAsia="Noto Sans CJK SC"/>
                <w:b/>
                <w:sz w:val="17"/>
              </w:rPr>
              <w:t>可能影响</w:t>
            </w:r>
          </w:p>
        </w:tc>
        <w:tc>
          <w:tcPr>
            <w:tcW w:w="3855" w:type="dxa"/>
            <w:shd w:val="clear" w:color="auto" w:fill="D9EAF7"/>
            <w:tcMar>
              <w:top w:w="110" w:type="dxa"/>
              <w:left w:w="100" w:type="dxa"/>
              <w:bottom w:w="110" w:type="dxa"/>
              <w:right w:w="100" w:type="dxa"/>
            </w:tcMar>
            <w:vAlign w:val="center"/>
          </w:tcPr>
          <w:p w14:paraId="590A9921">
            <w:pPr>
              <w:spacing w:after="0" w:line="240" w:lineRule="auto"/>
              <w:jc w:val="center"/>
            </w:pPr>
            <w:r>
              <w:rPr>
                <w:rFonts w:ascii="Times New Roman" w:hAnsi="Times New Roman" w:eastAsia="Noto Sans CJK SC"/>
                <w:b/>
                <w:sz w:val="17"/>
              </w:rPr>
              <w:t>控制措施</w:t>
            </w:r>
          </w:p>
        </w:tc>
      </w:tr>
      <w:tr w14:paraId="10E2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62F8ADE9">
            <w:pPr>
              <w:spacing w:after="0" w:line="276" w:lineRule="auto"/>
              <w:jc w:val="left"/>
            </w:pPr>
            <w:r>
              <w:rPr>
                <w:rFonts w:ascii="Times New Roman" w:hAnsi="Times New Roman" w:eastAsia="Noto Serif CJK SC"/>
                <w:sz w:val="17"/>
              </w:rPr>
              <w:t>测试集被前期Pilot反复查看</w:t>
            </w:r>
          </w:p>
        </w:tc>
        <w:tc>
          <w:tcPr>
            <w:tcW w:w="2438" w:type="dxa"/>
            <w:tcMar>
              <w:top w:w="90" w:type="dxa"/>
              <w:left w:w="100" w:type="dxa"/>
              <w:bottom w:w="90" w:type="dxa"/>
              <w:right w:w="100" w:type="dxa"/>
            </w:tcMar>
            <w:vAlign w:val="center"/>
          </w:tcPr>
          <w:p w14:paraId="3958C3CE">
            <w:pPr>
              <w:spacing w:after="0" w:line="276" w:lineRule="auto"/>
              <w:jc w:val="left"/>
            </w:pPr>
            <w:r>
              <w:rPr>
                <w:rFonts w:ascii="Times New Roman" w:hAnsi="Times New Roman" w:eastAsia="Noto Serif CJK SC"/>
                <w:sz w:val="17"/>
              </w:rPr>
              <w:t>正式泛化结论偏乐观</w:t>
            </w:r>
          </w:p>
        </w:tc>
        <w:tc>
          <w:tcPr>
            <w:tcW w:w="3855" w:type="dxa"/>
            <w:tcMar>
              <w:top w:w="90" w:type="dxa"/>
              <w:left w:w="100" w:type="dxa"/>
              <w:bottom w:w="90" w:type="dxa"/>
              <w:right w:w="100" w:type="dxa"/>
            </w:tcMar>
            <w:vAlign w:val="center"/>
          </w:tcPr>
          <w:p w14:paraId="1C3C5391">
            <w:pPr>
              <w:spacing w:after="0" w:line="276" w:lineRule="auto"/>
              <w:jc w:val="left"/>
            </w:pPr>
            <w:r>
              <w:rPr>
                <w:rFonts w:ascii="Times New Roman" w:hAnsi="Times New Roman" w:eastAsia="Noto Serif CJK SC"/>
                <w:sz w:val="17"/>
              </w:rPr>
              <w:t>开题后立即冻结；优先新建未触碰Final Holdout；无法新建则披露局限并多seed/bootstrap</w:t>
            </w:r>
          </w:p>
        </w:tc>
      </w:tr>
      <w:tr w14:paraId="0C88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38490480">
            <w:pPr>
              <w:spacing w:after="0" w:line="276" w:lineRule="auto"/>
              <w:jc w:val="left"/>
            </w:pPr>
            <w:r>
              <w:rPr>
                <w:rFonts w:ascii="Times New Roman" w:hAnsi="Times New Roman" w:eastAsia="Noto Serif CJK SC"/>
                <w:sz w:val="17"/>
              </w:rPr>
              <w:t>Prompt参考集过拟合</w:t>
            </w:r>
          </w:p>
        </w:tc>
        <w:tc>
          <w:tcPr>
            <w:tcW w:w="2438" w:type="dxa"/>
            <w:tcMar>
              <w:top w:w="90" w:type="dxa"/>
              <w:left w:w="100" w:type="dxa"/>
              <w:bottom w:w="90" w:type="dxa"/>
              <w:right w:w="100" w:type="dxa"/>
            </w:tcMar>
            <w:vAlign w:val="center"/>
          </w:tcPr>
          <w:p w14:paraId="34EA1BFC">
            <w:pPr>
              <w:spacing w:after="0" w:line="276" w:lineRule="auto"/>
              <w:jc w:val="left"/>
            </w:pPr>
            <w:r>
              <w:rPr>
                <w:rFonts w:ascii="Times New Roman" w:hAnsi="Times New Roman" w:eastAsia="Noto Serif CJK SC"/>
                <w:sz w:val="17"/>
              </w:rPr>
              <w:t>Final Holdout泛化不足</w:t>
            </w:r>
          </w:p>
        </w:tc>
        <w:tc>
          <w:tcPr>
            <w:tcW w:w="3855" w:type="dxa"/>
            <w:tcMar>
              <w:top w:w="90" w:type="dxa"/>
              <w:left w:w="100" w:type="dxa"/>
              <w:bottom w:w="90" w:type="dxa"/>
              <w:right w:w="100" w:type="dxa"/>
            </w:tcMar>
            <w:vAlign w:val="center"/>
          </w:tcPr>
          <w:p w14:paraId="2F3A82F5">
            <w:pPr>
              <w:spacing w:after="0" w:line="276" w:lineRule="auto"/>
              <w:jc w:val="left"/>
            </w:pPr>
            <w:r>
              <w:rPr>
                <w:rFonts w:ascii="Times New Roman" w:hAnsi="Times New Roman" w:eastAsia="Noto Serif CJK SC"/>
                <w:sz w:val="17"/>
              </w:rPr>
              <w:t>分层抽样；Top-2复筛；阈值稳定区间而非单点最优</w:t>
            </w:r>
          </w:p>
        </w:tc>
      </w:tr>
      <w:tr w14:paraId="2560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5116FF08">
            <w:pPr>
              <w:spacing w:after="0" w:line="276" w:lineRule="auto"/>
              <w:jc w:val="left"/>
            </w:pPr>
            <w:r>
              <w:rPr>
                <w:rFonts w:ascii="Times New Roman" w:hAnsi="Times New Roman" w:eastAsia="Noto Serif CJK SC"/>
                <w:sz w:val="17"/>
              </w:rPr>
              <w:t>SAM3 Verifier误删真火</w:t>
            </w:r>
          </w:p>
        </w:tc>
        <w:tc>
          <w:tcPr>
            <w:tcW w:w="2438" w:type="dxa"/>
            <w:tcMar>
              <w:top w:w="90" w:type="dxa"/>
              <w:left w:w="100" w:type="dxa"/>
              <w:bottom w:w="90" w:type="dxa"/>
              <w:right w:w="100" w:type="dxa"/>
            </w:tcMar>
            <w:vAlign w:val="center"/>
          </w:tcPr>
          <w:p w14:paraId="68120B82">
            <w:pPr>
              <w:spacing w:after="0" w:line="276" w:lineRule="auto"/>
              <w:jc w:val="left"/>
            </w:pPr>
            <w:r>
              <w:rPr>
                <w:rFonts w:ascii="Times New Roman" w:hAnsi="Times New Roman" w:eastAsia="Noto Serif CJK SC"/>
                <w:sz w:val="17"/>
              </w:rPr>
              <w:t>Precision/Recall关系不可控</w:t>
            </w:r>
          </w:p>
        </w:tc>
        <w:tc>
          <w:tcPr>
            <w:tcW w:w="3855" w:type="dxa"/>
            <w:tcMar>
              <w:top w:w="90" w:type="dxa"/>
              <w:left w:w="100" w:type="dxa"/>
              <w:bottom w:w="90" w:type="dxa"/>
              <w:right w:w="100" w:type="dxa"/>
            </w:tcMar>
            <w:vAlign w:val="center"/>
          </w:tcPr>
          <w:p w14:paraId="1C361AA9">
            <w:pPr>
              <w:spacing w:after="0" w:line="276" w:lineRule="auto"/>
              <w:jc w:val="left"/>
            </w:pPr>
            <w:r>
              <w:rPr>
                <w:rFonts w:ascii="Times New Roman" w:hAnsi="Times New Roman" w:eastAsia="Noto Serif CJK SC"/>
                <w:sz w:val="17"/>
              </w:rPr>
              <w:t>三档审核、默认保留DINO、只给SAM强证据否决权</w:t>
            </w:r>
          </w:p>
        </w:tc>
      </w:tr>
      <w:tr w14:paraId="5F46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19440AB7">
            <w:pPr>
              <w:spacing w:after="0" w:line="276" w:lineRule="auto"/>
              <w:jc w:val="left"/>
            </w:pPr>
            <w:r>
              <w:rPr>
                <w:rFonts w:ascii="Times New Roman" w:hAnsi="Times New Roman" w:eastAsia="Noto Serif CJK SC"/>
                <w:sz w:val="17"/>
              </w:rPr>
              <w:t>SAM3全图补漏FP高</w:t>
            </w:r>
          </w:p>
        </w:tc>
        <w:tc>
          <w:tcPr>
            <w:tcW w:w="2438" w:type="dxa"/>
            <w:tcMar>
              <w:top w:w="90" w:type="dxa"/>
              <w:left w:w="100" w:type="dxa"/>
              <w:bottom w:w="90" w:type="dxa"/>
              <w:right w:w="100" w:type="dxa"/>
            </w:tcMar>
            <w:vAlign w:val="center"/>
          </w:tcPr>
          <w:p w14:paraId="7B23B4E4">
            <w:pPr>
              <w:spacing w:after="0" w:line="276" w:lineRule="auto"/>
              <w:jc w:val="left"/>
            </w:pPr>
            <w:r>
              <w:rPr>
                <w:rFonts w:ascii="Times New Roman" w:hAnsi="Times New Roman" w:eastAsia="Noto Serif CJK SC"/>
                <w:sz w:val="17"/>
              </w:rPr>
              <w:t>增加错误监督</w:t>
            </w:r>
          </w:p>
        </w:tc>
        <w:tc>
          <w:tcPr>
            <w:tcW w:w="3855" w:type="dxa"/>
            <w:tcMar>
              <w:top w:w="90" w:type="dxa"/>
              <w:left w:w="100" w:type="dxa"/>
              <w:bottom w:w="90" w:type="dxa"/>
              <w:right w:w="100" w:type="dxa"/>
            </w:tcMar>
            <w:vAlign w:val="center"/>
          </w:tcPr>
          <w:p w14:paraId="6785BC29">
            <w:pPr>
              <w:spacing w:after="0" w:line="276" w:lineRule="auto"/>
              <w:jc w:val="left"/>
            </w:pPr>
            <w:r>
              <w:rPr>
                <w:rFonts w:ascii="Times New Roman" w:hAnsi="Times New Roman" w:eastAsia="Noto Serif CJK SC"/>
                <w:sz w:val="17"/>
              </w:rPr>
              <w:t>Append candidates先人工抽检，Precision未过门槛不全量</w:t>
            </w:r>
          </w:p>
        </w:tc>
      </w:tr>
      <w:tr w14:paraId="29F1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426FBB21">
            <w:pPr>
              <w:spacing w:after="0" w:line="276" w:lineRule="auto"/>
              <w:jc w:val="left"/>
            </w:pPr>
            <w:r>
              <w:rPr>
                <w:rFonts w:ascii="Times New Roman" w:hAnsi="Times New Roman" w:eastAsia="Noto Serif CJK SC"/>
                <w:sz w:val="17"/>
              </w:rPr>
              <w:t>SAM3框粒度与GT不一致</w:t>
            </w:r>
          </w:p>
        </w:tc>
        <w:tc>
          <w:tcPr>
            <w:tcW w:w="2438" w:type="dxa"/>
            <w:tcMar>
              <w:top w:w="90" w:type="dxa"/>
              <w:left w:w="100" w:type="dxa"/>
              <w:bottom w:w="90" w:type="dxa"/>
              <w:right w:w="100" w:type="dxa"/>
            </w:tcMar>
            <w:vAlign w:val="center"/>
          </w:tcPr>
          <w:p w14:paraId="4FF7C740">
            <w:pPr>
              <w:spacing w:after="0" w:line="276" w:lineRule="auto"/>
              <w:jc w:val="left"/>
            </w:pPr>
            <w:r>
              <w:rPr>
                <w:rFonts w:ascii="Times New Roman" w:hAnsi="Times New Roman" w:eastAsia="Noto Serif CJK SC"/>
                <w:sz w:val="17"/>
              </w:rPr>
              <w:t>mAP50:95下降</w:t>
            </w:r>
          </w:p>
        </w:tc>
        <w:tc>
          <w:tcPr>
            <w:tcW w:w="3855" w:type="dxa"/>
            <w:tcMar>
              <w:top w:w="90" w:type="dxa"/>
              <w:left w:w="100" w:type="dxa"/>
              <w:bottom w:w="90" w:type="dxa"/>
              <w:right w:w="100" w:type="dxa"/>
            </w:tcMar>
            <w:vAlign w:val="center"/>
          </w:tcPr>
          <w:p w14:paraId="1CFD5D10">
            <w:pPr>
              <w:spacing w:after="0" w:line="276" w:lineRule="auto"/>
              <w:jc w:val="left"/>
            </w:pPr>
            <w:r>
              <w:rPr>
                <w:rFonts w:ascii="Times New Roman" w:hAnsi="Times New Roman" w:eastAsia="Noto Serif CJK SC"/>
                <w:sz w:val="17"/>
              </w:rPr>
              <w:t>DINO保留定位权；box refinement仅小样本机制验证</w:t>
            </w:r>
          </w:p>
        </w:tc>
      </w:tr>
      <w:tr w14:paraId="0CDC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5924E9C1">
            <w:pPr>
              <w:spacing w:after="0" w:line="276" w:lineRule="auto"/>
              <w:jc w:val="left"/>
            </w:pPr>
            <w:r>
              <w:rPr>
                <w:rFonts w:ascii="Times New Roman" w:hAnsi="Times New Roman" w:eastAsia="Noto Serif CJK SC"/>
                <w:sz w:val="17"/>
              </w:rPr>
              <w:t>训练随机波动掩盖微小增益</w:t>
            </w:r>
          </w:p>
        </w:tc>
        <w:tc>
          <w:tcPr>
            <w:tcW w:w="2438" w:type="dxa"/>
            <w:tcMar>
              <w:top w:w="90" w:type="dxa"/>
              <w:left w:w="100" w:type="dxa"/>
              <w:bottom w:w="90" w:type="dxa"/>
              <w:right w:w="100" w:type="dxa"/>
            </w:tcMar>
            <w:vAlign w:val="center"/>
          </w:tcPr>
          <w:p w14:paraId="75876DAA">
            <w:pPr>
              <w:spacing w:after="0" w:line="276" w:lineRule="auto"/>
              <w:jc w:val="left"/>
            </w:pPr>
            <w:r>
              <w:rPr>
                <w:rFonts w:ascii="Times New Roman" w:hAnsi="Times New Roman" w:eastAsia="Noto Serif CJK SC"/>
                <w:sz w:val="17"/>
              </w:rPr>
              <w:t>误判候选有效</w:t>
            </w:r>
          </w:p>
        </w:tc>
        <w:tc>
          <w:tcPr>
            <w:tcW w:w="3855" w:type="dxa"/>
            <w:tcMar>
              <w:top w:w="90" w:type="dxa"/>
              <w:left w:w="100" w:type="dxa"/>
              <w:bottom w:w="90" w:type="dxa"/>
              <w:right w:w="100" w:type="dxa"/>
            </w:tcMar>
            <w:vAlign w:val="center"/>
          </w:tcPr>
          <w:p w14:paraId="3736CD8F">
            <w:pPr>
              <w:spacing w:after="0" w:line="276" w:lineRule="auto"/>
              <w:jc w:val="left"/>
            </w:pPr>
            <w:r>
              <w:rPr>
                <w:rFonts w:ascii="Times New Roman" w:hAnsi="Times New Roman" w:eastAsia="Noto Serif CJK SC"/>
                <w:sz w:val="17"/>
              </w:rPr>
              <w:t>E1/最终候选至少3 seeds；实际差异门槛与置信区间</w:t>
            </w:r>
          </w:p>
        </w:tc>
      </w:tr>
      <w:tr w14:paraId="5152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5099BF57">
            <w:pPr>
              <w:spacing w:after="0" w:line="276" w:lineRule="auto"/>
              <w:jc w:val="left"/>
            </w:pPr>
            <w:r>
              <w:rPr>
                <w:rFonts w:ascii="Times New Roman" w:hAnsi="Times New Roman" w:eastAsia="Noto Serif CJK SC"/>
                <w:sz w:val="17"/>
              </w:rPr>
              <w:t>管理内容被技术实验淹没</w:t>
            </w:r>
          </w:p>
        </w:tc>
        <w:tc>
          <w:tcPr>
            <w:tcW w:w="2438" w:type="dxa"/>
            <w:tcMar>
              <w:top w:w="90" w:type="dxa"/>
              <w:left w:w="100" w:type="dxa"/>
              <w:bottom w:w="90" w:type="dxa"/>
              <w:right w:w="100" w:type="dxa"/>
            </w:tcMar>
            <w:vAlign w:val="center"/>
          </w:tcPr>
          <w:p w14:paraId="5C18012D">
            <w:pPr>
              <w:spacing w:after="0" w:line="276" w:lineRule="auto"/>
              <w:jc w:val="left"/>
            </w:pPr>
            <w:r>
              <w:rPr>
                <w:rFonts w:ascii="Times New Roman" w:hAnsi="Times New Roman" w:eastAsia="Noto Serif CJK SC"/>
                <w:sz w:val="17"/>
              </w:rPr>
              <w:t>MEM属性不足</w:t>
            </w:r>
          </w:p>
        </w:tc>
        <w:tc>
          <w:tcPr>
            <w:tcW w:w="3855" w:type="dxa"/>
            <w:tcMar>
              <w:top w:w="90" w:type="dxa"/>
              <w:left w:w="100" w:type="dxa"/>
              <w:bottom w:w="90" w:type="dxa"/>
              <w:right w:w="100" w:type="dxa"/>
            </w:tcMar>
            <w:vAlign w:val="center"/>
          </w:tcPr>
          <w:p w14:paraId="030C22B5">
            <w:pPr>
              <w:spacing w:after="0" w:line="276" w:lineRule="auto"/>
              <w:jc w:val="left"/>
            </w:pPr>
            <w:r>
              <w:rPr>
                <w:rFonts w:ascii="Times New Roman" w:hAnsi="Times New Roman" w:eastAsia="Noto Serif CJK SC"/>
                <w:sz w:val="17"/>
              </w:rPr>
              <w:t>每一技术实验都对应质量成本、阶段门或资源决策；最终章节输出管理规则</w:t>
            </w:r>
          </w:p>
        </w:tc>
      </w:tr>
      <w:tr w14:paraId="5B65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90" w:type="dxa"/>
              <w:left w:w="100" w:type="dxa"/>
              <w:bottom w:w="90" w:type="dxa"/>
              <w:right w:w="100" w:type="dxa"/>
            </w:tcMar>
            <w:vAlign w:val="center"/>
          </w:tcPr>
          <w:p w14:paraId="516A3681">
            <w:pPr>
              <w:spacing w:after="0" w:line="276" w:lineRule="auto"/>
              <w:jc w:val="left"/>
            </w:pPr>
            <w:r>
              <w:rPr>
                <w:rFonts w:ascii="Times New Roman" w:hAnsi="Times New Roman" w:eastAsia="Noto Serif CJK SC"/>
                <w:sz w:val="17"/>
              </w:rPr>
              <w:t>成本单价不确定</w:t>
            </w:r>
          </w:p>
        </w:tc>
        <w:tc>
          <w:tcPr>
            <w:tcW w:w="2438" w:type="dxa"/>
            <w:tcMar>
              <w:top w:w="90" w:type="dxa"/>
              <w:left w:w="100" w:type="dxa"/>
              <w:bottom w:w="90" w:type="dxa"/>
              <w:right w:w="100" w:type="dxa"/>
            </w:tcMar>
            <w:vAlign w:val="center"/>
          </w:tcPr>
          <w:p w14:paraId="2DB1620C">
            <w:pPr>
              <w:spacing w:after="0" w:line="276" w:lineRule="auto"/>
              <w:jc w:val="left"/>
            </w:pPr>
            <w:r>
              <w:rPr>
                <w:rFonts w:ascii="Times New Roman" w:hAnsi="Times New Roman" w:eastAsia="Noto Serif CJK SC"/>
                <w:sz w:val="17"/>
              </w:rPr>
              <w:t>货币化结论不稳</w:t>
            </w:r>
          </w:p>
        </w:tc>
        <w:tc>
          <w:tcPr>
            <w:tcW w:w="3855" w:type="dxa"/>
            <w:tcMar>
              <w:top w:w="90" w:type="dxa"/>
              <w:left w:w="100" w:type="dxa"/>
              <w:bottom w:w="90" w:type="dxa"/>
              <w:right w:w="100" w:type="dxa"/>
            </w:tcMar>
            <w:vAlign w:val="center"/>
          </w:tcPr>
          <w:p w14:paraId="58DC9C60">
            <w:pPr>
              <w:spacing w:after="0" w:line="276" w:lineRule="auto"/>
              <w:jc w:val="left"/>
            </w:pPr>
            <w:r>
              <w:rPr>
                <w:rFonts w:ascii="Times New Roman" w:hAnsi="Times New Roman" w:eastAsia="Noto Serif CJK SC"/>
                <w:sz w:val="17"/>
              </w:rPr>
              <w:t>先报告GPU/人工小时，再使用价格区间做敏感性分析</w:t>
            </w:r>
          </w:p>
        </w:tc>
      </w:tr>
    </w:tbl>
    <w:p w14:paraId="12461E7A">
      <w:pPr>
        <w:widowControl/>
        <w:spacing w:after="20"/>
      </w:pPr>
    </w:p>
    <w:p w14:paraId="58751E2F">
      <w:pPr>
        <w:pStyle w:val="3"/>
        <w:keepNext/>
        <w:widowControl/>
        <w:spacing w:before="200" w:after="100" w:line="276" w:lineRule="auto"/>
      </w:pPr>
      <w:r>
        <w:rPr>
          <w:rFonts w:ascii="Times New Roman" w:hAnsi="Times New Roman" w:eastAsia="Noto Sans CJK SC"/>
          <w:b/>
          <w:sz w:val="32"/>
        </w:rPr>
        <w:t>九、研究计划与预期成果</w:t>
      </w:r>
    </w:p>
    <w:p w14:paraId="7C0C9837">
      <w:pPr>
        <w:pStyle w:val="4"/>
        <w:keepNext/>
        <w:widowControl/>
        <w:spacing w:before="140" w:after="60" w:line="276" w:lineRule="auto"/>
      </w:pPr>
      <w:r>
        <w:rPr>
          <w:rFonts w:ascii="Times New Roman" w:hAnsi="Times New Roman" w:eastAsia="Noto Sans CJK SC"/>
          <w:b/>
          <w:sz w:val="26"/>
        </w:rPr>
        <w:t>9.1 后续研究计划</w:t>
      </w:r>
    </w:p>
    <w:p w14:paraId="01FD56AC">
      <w:pPr>
        <w:widowControl/>
        <w:spacing w:before="80" w:after="80"/>
        <w:jc w:val="center"/>
      </w:pPr>
      <w:r>
        <w:rPr>
          <w:rFonts w:ascii="Times New Roman" w:hAnsi="Times New Roman" w:eastAsia="Noto Sans CJK SC"/>
          <w:b/>
          <w:sz w:val="18"/>
        </w:rPr>
        <w:t>表9-1  研究进度安排（可按学院当年节点微调）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1854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D9EAF7"/>
            <w:tcMar>
              <w:top w:w="110" w:type="dxa"/>
              <w:left w:w="100" w:type="dxa"/>
              <w:bottom w:w="110" w:type="dxa"/>
              <w:right w:w="100" w:type="dxa"/>
            </w:tcMar>
            <w:vAlign w:val="center"/>
          </w:tcPr>
          <w:p w14:paraId="30192A07">
            <w:pPr>
              <w:spacing w:after="0" w:line="240" w:lineRule="auto"/>
              <w:jc w:val="center"/>
            </w:pPr>
            <w:r>
              <w:rPr>
                <w:rFonts w:ascii="Times New Roman" w:hAnsi="Times New Roman" w:eastAsia="Noto Sans CJK SC"/>
                <w:b/>
                <w:sz w:val="17"/>
              </w:rPr>
              <w:t>时间</w:t>
            </w:r>
          </w:p>
        </w:tc>
        <w:tc>
          <w:tcPr>
            <w:tcW w:w="4819" w:type="dxa"/>
            <w:shd w:val="clear" w:color="auto" w:fill="D9EAF7"/>
            <w:tcMar>
              <w:top w:w="110" w:type="dxa"/>
              <w:left w:w="100" w:type="dxa"/>
              <w:bottom w:w="110" w:type="dxa"/>
              <w:right w:w="100" w:type="dxa"/>
            </w:tcMar>
            <w:vAlign w:val="center"/>
          </w:tcPr>
          <w:p w14:paraId="724CA43C">
            <w:pPr>
              <w:spacing w:after="0" w:line="240" w:lineRule="auto"/>
              <w:jc w:val="center"/>
            </w:pPr>
            <w:r>
              <w:rPr>
                <w:rFonts w:ascii="Times New Roman" w:hAnsi="Times New Roman" w:eastAsia="Noto Sans CJK SC"/>
                <w:b/>
                <w:sz w:val="17"/>
              </w:rPr>
              <w:t>主要工作</w:t>
            </w:r>
          </w:p>
        </w:tc>
        <w:tc>
          <w:tcPr>
            <w:tcW w:w="2778" w:type="dxa"/>
            <w:shd w:val="clear" w:color="auto" w:fill="D9EAF7"/>
            <w:tcMar>
              <w:top w:w="110" w:type="dxa"/>
              <w:left w:w="100" w:type="dxa"/>
              <w:bottom w:w="110" w:type="dxa"/>
              <w:right w:w="100" w:type="dxa"/>
            </w:tcMar>
            <w:vAlign w:val="center"/>
          </w:tcPr>
          <w:p w14:paraId="2BC79F47">
            <w:pPr>
              <w:spacing w:after="0" w:line="240" w:lineRule="auto"/>
              <w:jc w:val="center"/>
            </w:pPr>
            <w:r>
              <w:rPr>
                <w:rFonts w:ascii="Times New Roman" w:hAnsi="Times New Roman" w:eastAsia="Noto Sans CJK SC"/>
                <w:b/>
                <w:sz w:val="17"/>
              </w:rPr>
              <w:t>阶段输出</w:t>
            </w:r>
          </w:p>
        </w:tc>
      </w:tr>
      <w:tr w14:paraId="2A23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42D8BFCF">
            <w:pPr>
              <w:spacing w:after="0" w:line="276" w:lineRule="auto"/>
              <w:jc w:val="center"/>
            </w:pPr>
            <w:r>
              <w:rPr>
                <w:rFonts w:ascii="Times New Roman" w:hAnsi="Times New Roman" w:eastAsia="Noto Serif CJK SC"/>
                <w:sz w:val="17"/>
              </w:rPr>
              <w:t>2026.08</w:t>
            </w:r>
          </w:p>
        </w:tc>
        <w:tc>
          <w:tcPr>
            <w:tcW w:w="4819" w:type="dxa"/>
            <w:tcMar>
              <w:top w:w="90" w:type="dxa"/>
              <w:left w:w="100" w:type="dxa"/>
              <w:bottom w:w="90" w:type="dxa"/>
              <w:right w:w="100" w:type="dxa"/>
            </w:tcMar>
            <w:vAlign w:val="center"/>
          </w:tcPr>
          <w:p w14:paraId="37E3868E">
            <w:pPr>
              <w:spacing w:after="0" w:line="276" w:lineRule="auto"/>
              <w:jc w:val="left"/>
            </w:pPr>
            <w:r>
              <w:rPr>
                <w:rFonts w:ascii="Times New Roman" w:hAnsi="Times New Roman" w:eastAsia="Noto Serif CJK SC"/>
                <w:sz w:val="17"/>
              </w:rPr>
              <w:t>冻结研究协议；清理数据版本；确定Final Holdout策略；完成Prompt两阶段筛选</w:t>
            </w:r>
          </w:p>
        </w:tc>
        <w:tc>
          <w:tcPr>
            <w:tcW w:w="2778" w:type="dxa"/>
            <w:tcMar>
              <w:top w:w="90" w:type="dxa"/>
              <w:left w:w="100" w:type="dxa"/>
              <w:bottom w:w="90" w:type="dxa"/>
              <w:right w:w="100" w:type="dxa"/>
            </w:tcMar>
            <w:vAlign w:val="center"/>
          </w:tcPr>
          <w:p w14:paraId="7A2B6B42">
            <w:pPr>
              <w:spacing w:after="0" w:line="276" w:lineRule="auto"/>
              <w:jc w:val="left"/>
            </w:pPr>
            <w:r>
              <w:rPr>
                <w:rFonts w:ascii="Times New Roman" w:hAnsi="Times New Roman" w:eastAsia="Noto Serif CJK SC"/>
                <w:sz w:val="17"/>
              </w:rPr>
              <w:t>数据清单、Prompt V1、G0记录</w:t>
            </w:r>
          </w:p>
        </w:tc>
      </w:tr>
      <w:tr w14:paraId="5478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66C9CD4C">
            <w:pPr>
              <w:spacing w:after="0" w:line="276" w:lineRule="auto"/>
              <w:jc w:val="center"/>
            </w:pPr>
            <w:r>
              <w:rPr>
                <w:rFonts w:ascii="Times New Roman" w:hAnsi="Times New Roman" w:eastAsia="Noto Serif CJK SC"/>
                <w:sz w:val="17"/>
              </w:rPr>
              <w:t>2026.09</w:t>
            </w:r>
          </w:p>
        </w:tc>
        <w:tc>
          <w:tcPr>
            <w:tcW w:w="4819" w:type="dxa"/>
            <w:tcMar>
              <w:top w:w="90" w:type="dxa"/>
              <w:left w:w="100" w:type="dxa"/>
              <w:bottom w:w="90" w:type="dxa"/>
              <w:right w:w="100" w:type="dxa"/>
            </w:tcMar>
            <w:vAlign w:val="center"/>
          </w:tcPr>
          <w:p w14:paraId="65A9D40F">
            <w:pPr>
              <w:spacing w:after="0" w:line="276" w:lineRule="auto"/>
              <w:jc w:val="left"/>
            </w:pPr>
            <w:r>
              <w:rPr>
                <w:rFonts w:ascii="Times New Roman" w:hAnsi="Times New Roman" w:eastAsia="Noto Serif CJK SC"/>
                <w:sz w:val="17"/>
              </w:rPr>
              <w:t>按冻结配置复现E0/E1；完成伪标签质量诊断与E1多seed</w:t>
            </w:r>
          </w:p>
        </w:tc>
        <w:tc>
          <w:tcPr>
            <w:tcW w:w="2778" w:type="dxa"/>
            <w:tcMar>
              <w:top w:w="90" w:type="dxa"/>
              <w:left w:w="100" w:type="dxa"/>
              <w:bottom w:w="90" w:type="dxa"/>
              <w:right w:w="100" w:type="dxa"/>
            </w:tcMar>
            <w:vAlign w:val="center"/>
          </w:tcPr>
          <w:p w14:paraId="16D39B65">
            <w:pPr>
              <w:spacing w:after="0" w:line="276" w:lineRule="auto"/>
              <w:jc w:val="left"/>
            </w:pPr>
            <w:r>
              <w:rPr>
                <w:rFonts w:ascii="Times New Roman" w:hAnsi="Times New Roman" w:eastAsia="Noto Serif CJK SC"/>
                <w:sz w:val="17"/>
              </w:rPr>
              <w:t>正式基线、噪声水平δ、错误机制报告</w:t>
            </w:r>
          </w:p>
        </w:tc>
      </w:tr>
      <w:tr w14:paraId="285E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5741B485">
            <w:pPr>
              <w:spacing w:after="0" w:line="276" w:lineRule="auto"/>
              <w:jc w:val="center"/>
            </w:pPr>
            <w:r>
              <w:rPr>
                <w:rFonts w:ascii="Times New Roman" w:hAnsi="Times New Roman" w:eastAsia="Noto Serif CJK SC"/>
                <w:sz w:val="17"/>
              </w:rPr>
              <w:t>2026.10</w:t>
            </w:r>
          </w:p>
        </w:tc>
        <w:tc>
          <w:tcPr>
            <w:tcW w:w="4819" w:type="dxa"/>
            <w:tcMar>
              <w:top w:w="90" w:type="dxa"/>
              <w:left w:w="100" w:type="dxa"/>
              <w:bottom w:w="90" w:type="dxa"/>
              <w:right w:w="100" w:type="dxa"/>
            </w:tcMar>
            <w:vAlign w:val="center"/>
          </w:tcPr>
          <w:p w14:paraId="0851BC83">
            <w:pPr>
              <w:spacing w:after="0" w:line="276" w:lineRule="auto"/>
              <w:jc w:val="left"/>
            </w:pPr>
            <w:r>
              <w:rPr>
                <w:rFonts w:ascii="Times New Roman" w:hAnsi="Times New Roman" w:eastAsia="Noto Serif CJK SC"/>
                <w:sz w:val="17"/>
              </w:rPr>
              <w:t>执行E3/E4/E5小规模Stage-Gate；重点优化保守Verifier E6</w:t>
            </w:r>
          </w:p>
        </w:tc>
        <w:tc>
          <w:tcPr>
            <w:tcW w:w="2778" w:type="dxa"/>
            <w:tcMar>
              <w:top w:w="90" w:type="dxa"/>
              <w:left w:w="100" w:type="dxa"/>
              <w:bottom w:w="90" w:type="dxa"/>
              <w:right w:w="100" w:type="dxa"/>
            </w:tcMar>
            <w:vAlign w:val="center"/>
          </w:tcPr>
          <w:p w14:paraId="5BDA96B6">
            <w:pPr>
              <w:spacing w:after="0" w:line="276" w:lineRule="auto"/>
              <w:jc w:val="left"/>
            </w:pPr>
            <w:r>
              <w:rPr>
                <w:rFonts w:ascii="Times New Roman" w:hAnsi="Times New Roman" w:eastAsia="Noto Serif CJK SC"/>
                <w:sz w:val="17"/>
              </w:rPr>
              <w:t>候选门槛结果、人工抽检、Go/Stop决定</w:t>
            </w:r>
          </w:p>
        </w:tc>
      </w:tr>
      <w:tr w14:paraId="06F5E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4C339BF1">
            <w:pPr>
              <w:spacing w:after="0" w:line="276" w:lineRule="auto"/>
              <w:jc w:val="center"/>
            </w:pPr>
            <w:r>
              <w:rPr>
                <w:rFonts w:ascii="Times New Roman" w:hAnsi="Times New Roman" w:eastAsia="Noto Serif CJK SC"/>
                <w:sz w:val="17"/>
              </w:rPr>
              <w:t>2026.11</w:t>
            </w:r>
          </w:p>
        </w:tc>
        <w:tc>
          <w:tcPr>
            <w:tcW w:w="4819" w:type="dxa"/>
            <w:tcMar>
              <w:top w:w="90" w:type="dxa"/>
              <w:left w:w="100" w:type="dxa"/>
              <w:bottom w:w="90" w:type="dxa"/>
              <w:right w:w="100" w:type="dxa"/>
            </w:tcMar>
            <w:vAlign w:val="center"/>
          </w:tcPr>
          <w:p w14:paraId="04DF5FC8">
            <w:pPr>
              <w:spacing w:after="0" w:line="276" w:lineRule="auto"/>
              <w:jc w:val="left"/>
            </w:pPr>
            <w:r>
              <w:rPr>
                <w:rFonts w:ascii="Times New Roman" w:hAnsi="Times New Roman" w:eastAsia="Noto Serif CJK SC"/>
                <w:sz w:val="17"/>
              </w:rPr>
              <w:t>仅对通过门槛的最优候选生成全量V2；统一训练与3 seeds</w:t>
            </w:r>
          </w:p>
        </w:tc>
        <w:tc>
          <w:tcPr>
            <w:tcW w:w="2778" w:type="dxa"/>
            <w:tcMar>
              <w:top w:w="90" w:type="dxa"/>
              <w:left w:w="100" w:type="dxa"/>
              <w:bottom w:w="90" w:type="dxa"/>
              <w:right w:w="100" w:type="dxa"/>
            </w:tcMar>
            <w:vAlign w:val="center"/>
          </w:tcPr>
          <w:p w14:paraId="49EB2696">
            <w:pPr>
              <w:spacing w:after="0" w:line="276" w:lineRule="auto"/>
              <w:jc w:val="left"/>
            </w:pPr>
            <w:r>
              <w:rPr>
                <w:rFonts w:ascii="Times New Roman" w:hAnsi="Times New Roman" w:eastAsia="Noto Serif CJK SC"/>
                <w:sz w:val="17"/>
              </w:rPr>
              <w:t>E7结果、稳定性分析</w:t>
            </w:r>
          </w:p>
        </w:tc>
      </w:tr>
      <w:tr w14:paraId="74FA8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7FFE4C79">
            <w:pPr>
              <w:spacing w:after="0" w:line="276" w:lineRule="auto"/>
              <w:jc w:val="center"/>
            </w:pPr>
            <w:r>
              <w:rPr>
                <w:rFonts w:ascii="Times New Roman" w:hAnsi="Times New Roman" w:eastAsia="Noto Serif CJK SC"/>
                <w:sz w:val="17"/>
              </w:rPr>
              <w:t>2026.12</w:t>
            </w:r>
          </w:p>
        </w:tc>
        <w:tc>
          <w:tcPr>
            <w:tcW w:w="4819" w:type="dxa"/>
            <w:tcMar>
              <w:top w:w="90" w:type="dxa"/>
              <w:left w:w="100" w:type="dxa"/>
              <w:bottom w:w="90" w:type="dxa"/>
              <w:right w:w="100" w:type="dxa"/>
            </w:tcMar>
            <w:vAlign w:val="center"/>
          </w:tcPr>
          <w:p w14:paraId="3545D91D">
            <w:pPr>
              <w:spacing w:after="0" w:line="276" w:lineRule="auto"/>
              <w:jc w:val="left"/>
            </w:pPr>
            <w:r>
              <w:rPr>
                <w:rFonts w:ascii="Times New Roman" w:hAnsi="Times New Roman" w:eastAsia="Noto Serif CJK SC"/>
                <w:sz w:val="17"/>
              </w:rPr>
              <w:t>Final Holdout一次性评估；分层分析；成本日志汇总</w:t>
            </w:r>
          </w:p>
        </w:tc>
        <w:tc>
          <w:tcPr>
            <w:tcW w:w="2778" w:type="dxa"/>
            <w:tcMar>
              <w:top w:w="90" w:type="dxa"/>
              <w:left w:w="100" w:type="dxa"/>
              <w:bottom w:w="90" w:type="dxa"/>
              <w:right w:w="100" w:type="dxa"/>
            </w:tcMar>
            <w:vAlign w:val="center"/>
          </w:tcPr>
          <w:p w14:paraId="2EB1588F">
            <w:pPr>
              <w:spacing w:after="0" w:line="276" w:lineRule="auto"/>
              <w:jc w:val="left"/>
            </w:pPr>
            <w:r>
              <w:rPr>
                <w:rFonts w:ascii="Times New Roman" w:hAnsi="Times New Roman" w:eastAsia="Noto Serif CJK SC"/>
                <w:sz w:val="17"/>
              </w:rPr>
              <w:t>最终技术结果、bootstrap/分层结果</w:t>
            </w:r>
          </w:p>
        </w:tc>
      </w:tr>
      <w:tr w14:paraId="72F3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7E81C15D">
            <w:pPr>
              <w:spacing w:after="0" w:line="276" w:lineRule="auto"/>
              <w:jc w:val="center"/>
            </w:pPr>
            <w:r>
              <w:rPr>
                <w:rFonts w:ascii="Times New Roman" w:hAnsi="Times New Roman" w:eastAsia="Noto Serif CJK SC"/>
                <w:sz w:val="17"/>
              </w:rPr>
              <w:t>2027.01</w:t>
            </w:r>
          </w:p>
        </w:tc>
        <w:tc>
          <w:tcPr>
            <w:tcW w:w="4819" w:type="dxa"/>
            <w:tcMar>
              <w:top w:w="90" w:type="dxa"/>
              <w:left w:w="100" w:type="dxa"/>
              <w:bottom w:w="90" w:type="dxa"/>
              <w:right w:w="100" w:type="dxa"/>
            </w:tcMar>
            <w:vAlign w:val="center"/>
          </w:tcPr>
          <w:p w14:paraId="09BE44D0">
            <w:pPr>
              <w:spacing w:after="0" w:line="276" w:lineRule="auto"/>
              <w:jc w:val="left"/>
            </w:pPr>
            <w:r>
              <w:rPr>
                <w:rFonts w:ascii="Times New Roman" w:hAnsi="Times New Roman" w:eastAsia="Noto Serif CJK SC"/>
                <w:sz w:val="17"/>
              </w:rPr>
              <w:t>COQ、边际收益、Pareto和情景敏感性分析</w:t>
            </w:r>
          </w:p>
        </w:tc>
        <w:tc>
          <w:tcPr>
            <w:tcW w:w="2778" w:type="dxa"/>
            <w:tcMar>
              <w:top w:w="90" w:type="dxa"/>
              <w:left w:w="100" w:type="dxa"/>
              <w:bottom w:w="90" w:type="dxa"/>
              <w:right w:w="100" w:type="dxa"/>
            </w:tcMar>
            <w:vAlign w:val="center"/>
          </w:tcPr>
          <w:p w14:paraId="46469F4A">
            <w:pPr>
              <w:spacing w:after="0" w:line="276" w:lineRule="auto"/>
              <w:jc w:val="left"/>
            </w:pPr>
            <w:r>
              <w:rPr>
                <w:rFonts w:ascii="Times New Roman" w:hAnsi="Times New Roman" w:eastAsia="Noto Serif CJK SC"/>
                <w:sz w:val="17"/>
              </w:rPr>
              <w:t>资源配置与停止规则</w:t>
            </w:r>
          </w:p>
        </w:tc>
      </w:tr>
      <w:tr w14:paraId="665B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2F489E35">
            <w:pPr>
              <w:spacing w:after="0" w:line="276" w:lineRule="auto"/>
              <w:jc w:val="center"/>
            </w:pPr>
            <w:r>
              <w:rPr>
                <w:rFonts w:ascii="Times New Roman" w:hAnsi="Times New Roman" w:eastAsia="Noto Serif CJK SC"/>
                <w:sz w:val="17"/>
              </w:rPr>
              <w:t>2027.02</w:t>
            </w:r>
          </w:p>
        </w:tc>
        <w:tc>
          <w:tcPr>
            <w:tcW w:w="4819" w:type="dxa"/>
            <w:tcMar>
              <w:top w:w="90" w:type="dxa"/>
              <w:left w:w="100" w:type="dxa"/>
              <w:bottom w:w="90" w:type="dxa"/>
              <w:right w:w="100" w:type="dxa"/>
            </w:tcMar>
            <w:vAlign w:val="center"/>
          </w:tcPr>
          <w:p w14:paraId="46CE03CD">
            <w:pPr>
              <w:spacing w:after="0" w:line="276" w:lineRule="auto"/>
              <w:jc w:val="left"/>
            </w:pPr>
            <w:r>
              <w:rPr>
                <w:rFonts w:ascii="Times New Roman" w:hAnsi="Times New Roman" w:eastAsia="Noto Serif CJK SC"/>
                <w:sz w:val="17"/>
              </w:rPr>
              <w:t>完成论文初稿与管理建议；核对引用、表图与追溯链</w:t>
            </w:r>
          </w:p>
        </w:tc>
        <w:tc>
          <w:tcPr>
            <w:tcW w:w="2778" w:type="dxa"/>
            <w:tcMar>
              <w:top w:w="90" w:type="dxa"/>
              <w:left w:w="100" w:type="dxa"/>
              <w:bottom w:w="90" w:type="dxa"/>
              <w:right w:w="100" w:type="dxa"/>
            </w:tcMar>
            <w:vAlign w:val="center"/>
          </w:tcPr>
          <w:p w14:paraId="329FD096">
            <w:pPr>
              <w:spacing w:after="0" w:line="276" w:lineRule="auto"/>
              <w:jc w:val="left"/>
            </w:pPr>
            <w:r>
              <w:rPr>
                <w:rFonts w:ascii="Times New Roman" w:hAnsi="Times New Roman" w:eastAsia="Noto Serif CJK SC"/>
                <w:sz w:val="17"/>
              </w:rPr>
              <w:t>论文初稿</w:t>
            </w:r>
          </w:p>
        </w:tc>
      </w:tr>
      <w:tr w14:paraId="57AB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100" w:type="dxa"/>
              <w:bottom w:w="90" w:type="dxa"/>
              <w:right w:w="100" w:type="dxa"/>
            </w:tcMar>
            <w:vAlign w:val="center"/>
          </w:tcPr>
          <w:p w14:paraId="674E8A2A">
            <w:pPr>
              <w:spacing w:after="0" w:line="276" w:lineRule="auto"/>
              <w:jc w:val="center"/>
            </w:pPr>
            <w:r>
              <w:rPr>
                <w:rFonts w:ascii="Times New Roman" w:hAnsi="Times New Roman" w:eastAsia="Noto Serif CJK SC"/>
                <w:sz w:val="17"/>
              </w:rPr>
              <w:t>2027.03</w:t>
            </w:r>
          </w:p>
        </w:tc>
        <w:tc>
          <w:tcPr>
            <w:tcW w:w="4819" w:type="dxa"/>
            <w:tcMar>
              <w:top w:w="90" w:type="dxa"/>
              <w:left w:w="100" w:type="dxa"/>
              <w:bottom w:w="90" w:type="dxa"/>
              <w:right w:w="100" w:type="dxa"/>
            </w:tcMar>
            <w:vAlign w:val="center"/>
          </w:tcPr>
          <w:p w14:paraId="47F3E62F">
            <w:pPr>
              <w:spacing w:after="0" w:line="276" w:lineRule="auto"/>
              <w:jc w:val="left"/>
            </w:pPr>
            <w:r>
              <w:rPr>
                <w:rFonts w:ascii="Times New Roman" w:hAnsi="Times New Roman" w:eastAsia="Noto Serif CJK SC"/>
                <w:sz w:val="17"/>
              </w:rPr>
              <w:t>根据导师/预答辩意见修订，完成终稿准备</w:t>
            </w:r>
          </w:p>
        </w:tc>
        <w:tc>
          <w:tcPr>
            <w:tcW w:w="2778" w:type="dxa"/>
            <w:tcMar>
              <w:top w:w="90" w:type="dxa"/>
              <w:left w:w="100" w:type="dxa"/>
              <w:bottom w:w="90" w:type="dxa"/>
              <w:right w:w="100" w:type="dxa"/>
            </w:tcMar>
            <w:vAlign w:val="center"/>
          </w:tcPr>
          <w:p w14:paraId="13786B38">
            <w:pPr>
              <w:spacing w:after="0" w:line="276" w:lineRule="auto"/>
              <w:jc w:val="left"/>
            </w:pPr>
            <w:r>
              <w:rPr>
                <w:rFonts w:ascii="Times New Roman" w:hAnsi="Times New Roman" w:eastAsia="Noto Serif CJK SC"/>
                <w:sz w:val="17"/>
              </w:rPr>
              <w:t>论文定稿版</w:t>
            </w:r>
          </w:p>
        </w:tc>
      </w:tr>
    </w:tbl>
    <w:p w14:paraId="10DA590A">
      <w:pPr>
        <w:widowControl/>
        <w:spacing w:after="20"/>
      </w:pPr>
    </w:p>
    <w:p w14:paraId="198DE0E8">
      <w:pPr>
        <w:pStyle w:val="4"/>
        <w:keepNext/>
        <w:widowControl/>
        <w:spacing w:before="140" w:after="60" w:line="276" w:lineRule="auto"/>
      </w:pPr>
      <w:r>
        <w:rPr>
          <w:rFonts w:ascii="Times New Roman" w:hAnsi="Times New Roman" w:eastAsia="Noto Sans CJK SC"/>
          <w:b/>
          <w:sz w:val="26"/>
        </w:rPr>
        <w:t>9.2 预期成果</w:t>
      </w:r>
    </w:p>
    <w:p w14:paraId="50039A8B">
      <w:pPr>
        <w:pStyle w:val="16"/>
        <w:widowControl/>
        <w:spacing w:after="60" w:line="324" w:lineRule="auto"/>
        <w:ind w:left="454" w:hanging="198"/>
      </w:pPr>
      <w:r>
        <w:rPr>
          <w:rFonts w:ascii="Times New Roman" w:hAnsi="Times New Roman" w:eastAsia="Noto Serif CJK SC"/>
          <w:sz w:val="22"/>
        </w:rPr>
        <w:t>形成fire/smoke低预算Prompt Benchmark与冻结配置方法。</w:t>
      </w:r>
    </w:p>
    <w:p w14:paraId="6C0C6802">
      <w:pPr>
        <w:pStyle w:val="16"/>
        <w:widowControl/>
        <w:spacing w:after="60" w:line="324" w:lineRule="auto"/>
        <w:ind w:left="454" w:hanging="198"/>
      </w:pPr>
      <w:r>
        <w:rPr>
          <w:rFonts w:ascii="Times New Roman" w:hAnsi="Times New Roman" w:eastAsia="Noto Serif CJK SC"/>
          <w:sz w:val="22"/>
        </w:rPr>
        <w:t>形成Grounding DINO主教师伪标签V1及相对人工GT的下游效用保留率评价。</w:t>
      </w:r>
    </w:p>
    <w:p w14:paraId="1E01703F">
      <w:pPr>
        <w:pStyle w:val="16"/>
        <w:widowControl/>
        <w:spacing w:after="60" w:line="324" w:lineRule="auto"/>
        <w:ind w:left="454" w:hanging="198"/>
      </w:pPr>
      <w:r>
        <w:rPr>
          <w:rFonts w:ascii="Times New Roman" w:hAnsi="Times New Roman" w:eastAsia="Noto Serif CJK SC"/>
          <w:sz w:val="22"/>
        </w:rPr>
        <w:t>形成missing、false positive、框尺度、定位和实例粒度等伪标签质量诊断体系。</w:t>
      </w:r>
    </w:p>
    <w:p w14:paraId="188F175B">
      <w:pPr>
        <w:pStyle w:val="16"/>
        <w:widowControl/>
        <w:spacing w:after="60" w:line="324" w:lineRule="auto"/>
        <w:ind w:left="454" w:hanging="198"/>
      </w:pPr>
      <w:r>
        <w:rPr>
          <w:rFonts w:ascii="Times New Roman" w:hAnsi="Times New Roman" w:eastAsia="Noto Serif CJK SC"/>
          <w:sz w:val="22"/>
        </w:rPr>
        <w:t>完成SAM3 Verifier、Recall Teacher和Localization Refiner三类角色的门槛式实证，明确其有效角色与适用边界。</w:t>
      </w:r>
    </w:p>
    <w:p w14:paraId="0930A1C6">
      <w:pPr>
        <w:pStyle w:val="16"/>
        <w:widowControl/>
        <w:spacing w:after="60" w:line="324" w:lineRule="auto"/>
        <w:ind w:left="454" w:hanging="198"/>
      </w:pPr>
      <w:r>
        <w:rPr>
          <w:rFonts w:ascii="Times New Roman" w:hAnsi="Times New Roman" w:eastAsia="Noto Serif CJK SC"/>
          <w:sz w:val="22"/>
        </w:rPr>
        <w:t>形成一套可执行的第二教师升级/停止规则：有效则生成双教师V2，无效则将V1冻结为Pareto停止点。</w:t>
      </w:r>
    </w:p>
    <w:p w14:paraId="01752F50">
      <w:pPr>
        <w:pStyle w:val="16"/>
        <w:widowControl/>
        <w:spacing w:after="60" w:line="324" w:lineRule="auto"/>
        <w:ind w:left="454" w:hanging="198"/>
      </w:pPr>
      <w:r>
        <w:rPr>
          <w:rFonts w:ascii="Times New Roman" w:hAnsi="Times New Roman" w:eastAsia="Noto Serif CJK SC"/>
          <w:sz w:val="22"/>
        </w:rPr>
        <w:t>形成以GPU/人工小时、重训次数、交付周期和Independent Test为核心的成本—性能Pareto前沿。</w:t>
      </w:r>
    </w:p>
    <w:p w14:paraId="2BBEBE00">
      <w:pPr>
        <w:pStyle w:val="16"/>
        <w:widowControl/>
        <w:spacing w:after="60" w:line="324" w:lineRule="auto"/>
        <w:ind w:left="454" w:hanging="198"/>
      </w:pPr>
      <w:r>
        <w:rPr>
          <w:rFonts w:ascii="Times New Roman" w:hAnsi="Times New Roman" w:eastAsia="Noto Serif CJK SC"/>
          <w:sz w:val="22"/>
        </w:rPr>
        <w:t>建立数据来源、Prompt、模型、标签版本、训练run和测试报告之间的最小追溯规范。</w:t>
      </w:r>
    </w:p>
    <w:p w14:paraId="2B216144">
      <w:pPr>
        <w:pStyle w:val="16"/>
        <w:widowControl/>
        <w:spacing w:after="60" w:line="324" w:lineRule="auto"/>
        <w:ind w:left="454" w:hanging="198"/>
      </w:pPr>
      <w:r>
        <w:rPr>
          <w:rFonts w:ascii="Times New Roman" w:hAnsi="Times New Roman" w:eastAsia="Noto Serif CJK SC"/>
          <w:sz w:val="22"/>
        </w:rPr>
        <w:t>形成面向AI训练数据项目经理的质量控制、资源配置和持续迭代建议。</w:t>
      </w:r>
    </w:p>
    <w:p w14:paraId="69902E48">
      <w:pPr>
        <w:pStyle w:val="3"/>
        <w:keepNext/>
        <w:widowControl/>
        <w:spacing w:before="200" w:after="100" w:line="276" w:lineRule="auto"/>
      </w:pPr>
      <w:r>
        <w:rPr>
          <w:rFonts w:ascii="Times New Roman" w:hAnsi="Times New Roman" w:eastAsia="Noto Sans CJK SC"/>
          <w:b/>
          <w:sz w:val="32"/>
        </w:rPr>
        <w:t>十、论文拟定目录</w:t>
      </w:r>
    </w:p>
    <w:p w14:paraId="0CB64FA9">
      <w:pPr>
        <w:widowControl/>
        <w:spacing w:before="120" w:after="60"/>
      </w:pPr>
      <w:r>
        <w:rPr>
          <w:rFonts w:ascii="Times New Roman" w:hAnsi="Times New Roman" w:eastAsia="Noto Sans CJK SC"/>
          <w:b/>
          <w:sz w:val="22"/>
        </w:rPr>
        <w:t>第一章 绪论</w:t>
      </w:r>
    </w:p>
    <w:p w14:paraId="08FBDB37">
      <w:pPr>
        <w:widowControl/>
        <w:spacing w:after="40"/>
        <w:ind w:left="454"/>
      </w:pPr>
      <w:r>
        <w:rPr>
          <w:rFonts w:ascii="Times New Roman" w:hAnsi="Times New Roman" w:eastAsia="Noto Serif CJK SC"/>
          <w:sz w:val="21"/>
        </w:rPr>
        <w:t>1.1 研究背景与课题来源</w:t>
      </w:r>
    </w:p>
    <w:p w14:paraId="0375D68B">
      <w:pPr>
        <w:widowControl/>
        <w:spacing w:after="40"/>
        <w:ind w:left="454"/>
      </w:pPr>
      <w:r>
        <w:rPr>
          <w:rFonts w:ascii="Times New Roman" w:hAnsi="Times New Roman" w:eastAsia="Noto Serif CJK SC"/>
          <w:sz w:val="21"/>
        </w:rPr>
        <w:t>1.2 研究问题提出</w:t>
      </w:r>
    </w:p>
    <w:p w14:paraId="1E000F63">
      <w:pPr>
        <w:widowControl/>
        <w:spacing w:after="40"/>
        <w:ind w:left="454"/>
      </w:pPr>
      <w:r>
        <w:rPr>
          <w:rFonts w:ascii="Times New Roman" w:hAnsi="Times New Roman" w:eastAsia="Noto Serif CJK SC"/>
          <w:sz w:val="21"/>
        </w:rPr>
        <w:t>1.3 研究目的与研究意义</w:t>
      </w:r>
    </w:p>
    <w:p w14:paraId="6D129303">
      <w:pPr>
        <w:widowControl/>
        <w:spacing w:after="40"/>
        <w:ind w:left="454"/>
      </w:pPr>
      <w:r>
        <w:rPr>
          <w:rFonts w:ascii="Times New Roman" w:hAnsi="Times New Roman" w:eastAsia="Noto Serif CJK SC"/>
          <w:sz w:val="21"/>
        </w:rPr>
        <w:t>1.4 国内外研究现状概述</w:t>
      </w:r>
    </w:p>
    <w:p w14:paraId="1DEED4D7">
      <w:pPr>
        <w:widowControl/>
        <w:spacing w:after="40"/>
        <w:ind w:left="454"/>
      </w:pPr>
      <w:r>
        <w:rPr>
          <w:rFonts w:ascii="Times New Roman" w:hAnsi="Times New Roman" w:eastAsia="Noto Serif CJK SC"/>
          <w:sz w:val="21"/>
        </w:rPr>
        <w:t>1.5 研究内容与研究方法</w:t>
      </w:r>
    </w:p>
    <w:p w14:paraId="7225BA4B">
      <w:pPr>
        <w:widowControl/>
        <w:spacing w:after="40"/>
        <w:ind w:left="454"/>
      </w:pPr>
      <w:r>
        <w:rPr>
          <w:rFonts w:ascii="Times New Roman" w:hAnsi="Times New Roman" w:eastAsia="Noto Serif CJK SC"/>
          <w:sz w:val="21"/>
        </w:rPr>
        <w:t>1.6 技术—管理双主线</w:t>
      </w:r>
    </w:p>
    <w:p w14:paraId="48EB32C7">
      <w:pPr>
        <w:widowControl/>
        <w:spacing w:after="40"/>
        <w:ind w:left="454"/>
      </w:pPr>
      <w:r>
        <w:rPr>
          <w:rFonts w:ascii="Times New Roman" w:hAnsi="Times New Roman" w:eastAsia="Noto Serif CJK SC"/>
          <w:sz w:val="21"/>
        </w:rPr>
        <w:t>1.7 主要创新点</w:t>
      </w:r>
    </w:p>
    <w:p w14:paraId="76C32CD7">
      <w:pPr>
        <w:widowControl/>
        <w:spacing w:before="120" w:after="60"/>
      </w:pPr>
      <w:r>
        <w:rPr>
          <w:rFonts w:ascii="Times New Roman" w:hAnsi="Times New Roman" w:eastAsia="Noto Sans CJK SC"/>
          <w:b/>
          <w:sz w:val="22"/>
        </w:rPr>
        <w:t>第二章 理论基础与研究框架</w:t>
      </w:r>
    </w:p>
    <w:p w14:paraId="3F826F2E">
      <w:pPr>
        <w:widowControl/>
        <w:spacing w:after="40"/>
        <w:ind w:left="454"/>
      </w:pPr>
      <w:r>
        <w:rPr>
          <w:rFonts w:ascii="Times New Roman" w:hAnsi="Times New Roman" w:eastAsia="Noto Serif CJK SC"/>
          <w:sz w:val="21"/>
        </w:rPr>
        <w:t>2.1 AI训练数据质量与下游效用</w:t>
      </w:r>
    </w:p>
    <w:p w14:paraId="5285227F">
      <w:pPr>
        <w:widowControl/>
        <w:spacing w:after="40"/>
        <w:ind w:left="454"/>
      </w:pPr>
      <w:r>
        <w:rPr>
          <w:rFonts w:ascii="Times New Roman" w:hAnsi="Times New Roman" w:eastAsia="Noto Serif CJK SC"/>
          <w:sz w:val="21"/>
        </w:rPr>
        <w:t>2.2 开放词汇检测与双教师机制</w:t>
      </w:r>
    </w:p>
    <w:p w14:paraId="0F8E1113">
      <w:pPr>
        <w:widowControl/>
        <w:spacing w:after="40"/>
        <w:ind w:left="454"/>
      </w:pPr>
      <w:r>
        <w:rPr>
          <w:rFonts w:ascii="Times New Roman" w:hAnsi="Times New Roman" w:eastAsia="Noto Serif CJK SC"/>
          <w:sz w:val="21"/>
        </w:rPr>
        <w:t>2.3 质量成本理论</w:t>
      </w:r>
    </w:p>
    <w:p w14:paraId="6A3C42F0">
      <w:pPr>
        <w:widowControl/>
        <w:spacing w:after="40"/>
        <w:ind w:left="454"/>
      </w:pPr>
      <w:r>
        <w:rPr>
          <w:rFonts w:ascii="Times New Roman" w:hAnsi="Times New Roman" w:eastAsia="Noto Serif CJK SC"/>
          <w:sz w:val="21"/>
        </w:rPr>
        <w:t>2.4 Stage-Gate与项目决策</w:t>
      </w:r>
    </w:p>
    <w:p w14:paraId="413F5546">
      <w:pPr>
        <w:widowControl/>
        <w:spacing w:after="40"/>
        <w:ind w:left="454"/>
      </w:pPr>
      <w:r>
        <w:rPr>
          <w:rFonts w:ascii="Times New Roman" w:hAnsi="Times New Roman" w:eastAsia="Noto Serif CJK SC"/>
          <w:sz w:val="21"/>
        </w:rPr>
        <w:t>2.5 Pareto与边际资源配置</w:t>
      </w:r>
    </w:p>
    <w:p w14:paraId="09514070">
      <w:pPr>
        <w:widowControl/>
        <w:spacing w:after="40"/>
        <w:ind w:left="454"/>
      </w:pPr>
      <w:r>
        <w:rPr>
          <w:rFonts w:ascii="Times New Roman" w:hAnsi="Times New Roman" w:eastAsia="Noto Serif CJK SC"/>
          <w:sz w:val="21"/>
        </w:rPr>
        <w:t>2.6 AI生命周期与可追溯治理</w:t>
      </w:r>
    </w:p>
    <w:p w14:paraId="2F7CCA3B">
      <w:pPr>
        <w:widowControl/>
        <w:spacing w:after="40"/>
        <w:ind w:left="454"/>
      </w:pPr>
      <w:r>
        <w:rPr>
          <w:rFonts w:ascii="Times New Roman" w:hAnsi="Times New Roman" w:eastAsia="Noto Serif CJK SC"/>
          <w:sz w:val="21"/>
        </w:rPr>
        <w:t>2.7 本文研究框架</w:t>
      </w:r>
    </w:p>
    <w:p w14:paraId="39E525DB">
      <w:pPr>
        <w:widowControl/>
        <w:spacing w:before="120" w:after="60"/>
      </w:pPr>
      <w:r>
        <w:rPr>
          <w:rFonts w:ascii="Times New Roman" w:hAnsi="Times New Roman" w:eastAsia="Noto Sans CJK SC"/>
          <w:b/>
          <w:sz w:val="22"/>
        </w:rPr>
        <w:t>第三章 低预算Prompt规范化与主教师伪标签V1</w:t>
      </w:r>
    </w:p>
    <w:p w14:paraId="3E96B381">
      <w:pPr>
        <w:widowControl/>
        <w:spacing w:after="40"/>
        <w:ind w:left="454"/>
      </w:pPr>
      <w:r>
        <w:rPr>
          <w:rFonts w:ascii="Times New Roman" w:hAnsi="Times New Roman" w:eastAsia="Noto Serif CJK SC"/>
          <w:sz w:val="21"/>
        </w:rPr>
        <w:t>3.1 数据版本与实验协议</w:t>
      </w:r>
    </w:p>
    <w:p w14:paraId="404D6231">
      <w:pPr>
        <w:widowControl/>
        <w:spacing w:after="40"/>
        <w:ind w:left="454"/>
      </w:pPr>
      <w:r>
        <w:rPr>
          <w:rFonts w:ascii="Times New Roman" w:hAnsi="Times New Roman" w:eastAsia="Noto Serif CJK SC"/>
          <w:sz w:val="21"/>
        </w:rPr>
        <w:t>3.2 fire/smoke Prompt候选构建</w:t>
      </w:r>
    </w:p>
    <w:p w14:paraId="5CF94A5A">
      <w:pPr>
        <w:widowControl/>
        <w:spacing w:after="40"/>
        <w:ind w:left="454"/>
      </w:pPr>
      <w:r>
        <w:rPr>
          <w:rFonts w:ascii="Times New Roman" w:hAnsi="Times New Roman" w:eastAsia="Noto Serif CJK SC"/>
          <w:sz w:val="21"/>
        </w:rPr>
        <w:t>3.3 序贯Prompt粗筛与复筛</w:t>
      </w:r>
    </w:p>
    <w:p w14:paraId="511DFFB0">
      <w:pPr>
        <w:widowControl/>
        <w:spacing w:after="40"/>
        <w:ind w:left="454"/>
      </w:pPr>
      <w:r>
        <w:rPr>
          <w:rFonts w:ascii="Times New Roman" w:hAnsi="Times New Roman" w:eastAsia="Noto Serif CJK SC"/>
          <w:sz w:val="21"/>
        </w:rPr>
        <w:t>3.4 Prompt和阈值冻结</w:t>
      </w:r>
    </w:p>
    <w:p w14:paraId="7E33FDDF">
      <w:pPr>
        <w:widowControl/>
        <w:spacing w:after="40"/>
        <w:ind w:left="454"/>
      </w:pPr>
      <w:r>
        <w:rPr>
          <w:rFonts w:ascii="Times New Roman" w:hAnsi="Times New Roman" w:eastAsia="Noto Serif CJK SC"/>
          <w:sz w:val="21"/>
        </w:rPr>
        <w:t>3.5 Grounding DINO伪标签V1</w:t>
      </w:r>
    </w:p>
    <w:p w14:paraId="1ADFA243">
      <w:pPr>
        <w:widowControl/>
        <w:spacing w:after="40"/>
        <w:ind w:left="454"/>
      </w:pPr>
      <w:r>
        <w:rPr>
          <w:rFonts w:ascii="Times New Roman" w:hAnsi="Times New Roman" w:eastAsia="Noto Serif CJK SC"/>
          <w:sz w:val="21"/>
        </w:rPr>
        <w:t>3.6 YOLO下游基线与性能保留率</w:t>
      </w:r>
    </w:p>
    <w:p w14:paraId="57DF6340">
      <w:pPr>
        <w:widowControl/>
        <w:spacing w:after="40"/>
        <w:ind w:left="454"/>
      </w:pPr>
      <w:r>
        <w:rPr>
          <w:rFonts w:ascii="Times New Roman" w:hAnsi="Times New Roman" w:eastAsia="Noto Serif CJK SC"/>
          <w:sz w:val="21"/>
        </w:rPr>
        <w:t>3.7 本章小结</w:t>
      </w:r>
    </w:p>
    <w:p w14:paraId="1EAB6477">
      <w:pPr>
        <w:widowControl/>
        <w:spacing w:before="120" w:after="60"/>
      </w:pPr>
      <w:r>
        <w:rPr>
          <w:rFonts w:ascii="Times New Roman" w:hAnsi="Times New Roman" w:eastAsia="Noto Sans CJK SC"/>
          <w:b/>
          <w:sz w:val="22"/>
        </w:rPr>
        <w:t>第四章 伪标签质量诊断与双教师门槛机制</w:t>
      </w:r>
    </w:p>
    <w:p w14:paraId="430F788E">
      <w:pPr>
        <w:widowControl/>
        <w:spacing w:after="40"/>
        <w:ind w:left="454"/>
      </w:pPr>
      <w:r>
        <w:rPr>
          <w:rFonts w:ascii="Times New Roman" w:hAnsi="Times New Roman" w:eastAsia="Noto Serif CJK SC"/>
          <w:sz w:val="21"/>
        </w:rPr>
        <w:t>4.1 伪标签错误分类与诊断指标</w:t>
      </w:r>
    </w:p>
    <w:p w14:paraId="3E1A59E1">
      <w:pPr>
        <w:widowControl/>
        <w:spacing w:after="40"/>
        <w:ind w:left="454"/>
      </w:pPr>
      <w:r>
        <w:rPr>
          <w:rFonts w:ascii="Times New Roman" w:hAnsi="Times New Roman" w:eastAsia="Noto Serif CJK SC"/>
          <w:sz w:val="21"/>
        </w:rPr>
        <w:t>4.2 主教师V1误差机制</w:t>
      </w:r>
    </w:p>
    <w:p w14:paraId="74492E68">
      <w:pPr>
        <w:widowControl/>
        <w:spacing w:after="40"/>
        <w:ind w:left="454"/>
      </w:pPr>
      <w:r>
        <w:rPr>
          <w:rFonts w:ascii="Times New Roman" w:hAnsi="Times New Roman" w:eastAsia="Noto Serif CJK SC"/>
          <w:sz w:val="21"/>
        </w:rPr>
        <w:t>4.3 SAM3语义审核Verifier</w:t>
      </w:r>
    </w:p>
    <w:p w14:paraId="5154BC68">
      <w:pPr>
        <w:widowControl/>
        <w:spacing w:after="40"/>
        <w:ind w:left="454"/>
      </w:pPr>
      <w:r>
        <w:rPr>
          <w:rFonts w:ascii="Times New Roman" w:hAnsi="Times New Roman" w:eastAsia="Noto Serif CJK SC"/>
          <w:sz w:val="21"/>
        </w:rPr>
        <w:t>4.4 SAM3全图补漏Recall Teacher</w:t>
      </w:r>
    </w:p>
    <w:p w14:paraId="2BE4DBD7">
      <w:pPr>
        <w:widowControl/>
        <w:spacing w:after="40"/>
        <w:ind w:left="454"/>
      </w:pPr>
      <w:r>
        <w:rPr>
          <w:rFonts w:ascii="Times New Roman" w:hAnsi="Times New Roman" w:eastAsia="Noto Serif CJK SC"/>
          <w:sz w:val="21"/>
        </w:rPr>
        <w:t>4.5 SAM3框重定位Refiner</w:t>
      </w:r>
    </w:p>
    <w:p w14:paraId="1AB3E8A7">
      <w:pPr>
        <w:widowControl/>
        <w:spacing w:after="40"/>
        <w:ind w:left="454"/>
      </w:pPr>
      <w:r>
        <w:rPr>
          <w:rFonts w:ascii="Times New Roman" w:hAnsi="Times New Roman" w:eastAsia="Noto Serif CJK SC"/>
          <w:sz w:val="21"/>
        </w:rPr>
        <w:t>4.6 三档Verifier与融合规则</w:t>
      </w:r>
    </w:p>
    <w:p w14:paraId="412469BA">
      <w:pPr>
        <w:widowControl/>
        <w:spacing w:after="40"/>
        <w:ind w:left="454"/>
      </w:pPr>
      <w:r>
        <w:rPr>
          <w:rFonts w:ascii="Times New Roman" w:hAnsi="Times New Roman" w:eastAsia="Noto Serif CJK SC"/>
          <w:sz w:val="21"/>
        </w:rPr>
        <w:t>4.7 Stage-Gate决策结果</w:t>
      </w:r>
    </w:p>
    <w:p w14:paraId="5435DFA2">
      <w:pPr>
        <w:widowControl/>
        <w:spacing w:after="40"/>
        <w:ind w:left="454"/>
      </w:pPr>
      <w:r>
        <w:rPr>
          <w:rFonts w:ascii="Times New Roman" w:hAnsi="Times New Roman" w:eastAsia="Noto Serif CJK SC"/>
          <w:sz w:val="21"/>
        </w:rPr>
        <w:t>4.8 本章小结</w:t>
      </w:r>
    </w:p>
    <w:p w14:paraId="5ABA2376">
      <w:pPr>
        <w:widowControl/>
        <w:spacing w:before="120" w:after="60"/>
      </w:pPr>
      <w:r>
        <w:rPr>
          <w:rFonts w:ascii="Times New Roman" w:hAnsi="Times New Roman" w:eastAsia="Noto Sans CJK SC"/>
          <w:b/>
          <w:sz w:val="22"/>
        </w:rPr>
        <w:t>第五章 候选标签升级与下游效用稳健性验证</w:t>
      </w:r>
    </w:p>
    <w:p w14:paraId="528FDC43">
      <w:pPr>
        <w:widowControl/>
        <w:spacing w:after="40"/>
        <w:ind w:left="454"/>
      </w:pPr>
      <w:r>
        <w:rPr>
          <w:rFonts w:ascii="Times New Roman" w:hAnsi="Times New Roman" w:eastAsia="Noto Serif CJK SC"/>
          <w:sz w:val="21"/>
        </w:rPr>
        <w:t>5.1 通过门槛的V2生成</w:t>
      </w:r>
    </w:p>
    <w:p w14:paraId="056FBCC0">
      <w:pPr>
        <w:widowControl/>
        <w:spacing w:after="40"/>
        <w:ind w:left="454"/>
      </w:pPr>
      <w:r>
        <w:rPr>
          <w:rFonts w:ascii="Times New Roman" w:hAnsi="Times New Roman" w:eastAsia="Noto Serif CJK SC"/>
          <w:sz w:val="21"/>
        </w:rPr>
        <w:t>5.2 统一YOLO训练协议</w:t>
      </w:r>
    </w:p>
    <w:p w14:paraId="24C49AB9">
      <w:pPr>
        <w:widowControl/>
        <w:spacing w:after="40"/>
        <w:ind w:left="454"/>
      </w:pPr>
      <w:r>
        <w:rPr>
          <w:rFonts w:ascii="Times New Roman" w:hAnsi="Times New Roman" w:eastAsia="Noto Serif CJK SC"/>
          <w:sz w:val="21"/>
        </w:rPr>
        <w:t>5.3 多seed与bootstrap</w:t>
      </w:r>
    </w:p>
    <w:p w14:paraId="0526E325">
      <w:pPr>
        <w:widowControl/>
        <w:spacing w:after="40"/>
        <w:ind w:left="454"/>
      </w:pPr>
      <w:r>
        <w:rPr>
          <w:rFonts w:ascii="Times New Roman" w:hAnsi="Times New Roman" w:eastAsia="Noto Serif CJK SC"/>
          <w:sz w:val="21"/>
        </w:rPr>
        <w:t>5.4 fire/smoke与尺度分层</w:t>
      </w:r>
    </w:p>
    <w:p w14:paraId="67E53854">
      <w:pPr>
        <w:widowControl/>
        <w:spacing w:after="40"/>
        <w:ind w:left="454"/>
      </w:pPr>
      <w:r>
        <w:rPr>
          <w:rFonts w:ascii="Times New Roman" w:hAnsi="Times New Roman" w:eastAsia="Noto Serif CJK SC"/>
          <w:sz w:val="21"/>
        </w:rPr>
        <w:t>5.5 真实/AIGC来源敏感性</w:t>
      </w:r>
    </w:p>
    <w:p w14:paraId="65B0FC65">
      <w:pPr>
        <w:widowControl/>
        <w:spacing w:after="40"/>
        <w:ind w:left="454"/>
      </w:pPr>
      <w:r>
        <w:rPr>
          <w:rFonts w:ascii="Times New Roman" w:hAnsi="Times New Roman" w:eastAsia="Noto Serif CJK SC"/>
          <w:sz w:val="21"/>
        </w:rPr>
        <w:t>5.6 双教师适用边界</w:t>
      </w:r>
    </w:p>
    <w:p w14:paraId="14A3F72D">
      <w:pPr>
        <w:widowControl/>
        <w:spacing w:after="40"/>
        <w:ind w:left="454"/>
      </w:pPr>
      <w:r>
        <w:rPr>
          <w:rFonts w:ascii="Times New Roman" w:hAnsi="Times New Roman" w:eastAsia="Noto Serif CJK SC"/>
          <w:sz w:val="21"/>
        </w:rPr>
        <w:t>5.7 本章小结</w:t>
      </w:r>
    </w:p>
    <w:p w14:paraId="035A7EFD">
      <w:pPr>
        <w:widowControl/>
        <w:spacing w:before="120" w:after="60"/>
      </w:pPr>
      <w:r>
        <w:rPr>
          <w:rFonts w:ascii="Times New Roman" w:hAnsi="Times New Roman" w:eastAsia="Noto Sans CJK SC"/>
          <w:b/>
          <w:sz w:val="22"/>
        </w:rPr>
        <w:t>第六章 质量成本与资源配置决策</w:t>
      </w:r>
    </w:p>
    <w:p w14:paraId="61E21ADC">
      <w:pPr>
        <w:widowControl/>
        <w:spacing w:after="40"/>
        <w:ind w:left="454"/>
      </w:pPr>
      <w:r>
        <w:rPr>
          <w:rFonts w:ascii="Times New Roman" w:hAnsi="Times New Roman" w:eastAsia="Noto Serif CJK SC"/>
          <w:sz w:val="21"/>
        </w:rPr>
        <w:t>6.1 训练数据生产COQ核算边界</w:t>
      </w:r>
    </w:p>
    <w:p w14:paraId="38AE9199">
      <w:pPr>
        <w:widowControl/>
        <w:spacing w:after="40"/>
        <w:ind w:left="454"/>
      </w:pPr>
      <w:r>
        <w:rPr>
          <w:rFonts w:ascii="Times New Roman" w:hAnsi="Times New Roman" w:eastAsia="Noto Serif CJK SC"/>
          <w:sz w:val="21"/>
        </w:rPr>
        <w:t>6.2 GPU/人工/返工/重训成本</w:t>
      </w:r>
    </w:p>
    <w:p w14:paraId="656389CC">
      <w:pPr>
        <w:widowControl/>
        <w:spacing w:after="40"/>
        <w:ind w:left="454"/>
      </w:pPr>
      <w:r>
        <w:rPr>
          <w:rFonts w:ascii="Times New Roman" w:hAnsi="Times New Roman" w:eastAsia="Noto Serif CJK SC"/>
          <w:sz w:val="21"/>
        </w:rPr>
        <w:t>6.3 边际效用与成本效率</w:t>
      </w:r>
    </w:p>
    <w:p w14:paraId="24360EA0">
      <w:pPr>
        <w:widowControl/>
        <w:spacing w:after="40"/>
        <w:ind w:left="454"/>
      </w:pPr>
      <w:r>
        <w:rPr>
          <w:rFonts w:ascii="Times New Roman" w:hAnsi="Times New Roman" w:eastAsia="Noto Serif CJK SC"/>
          <w:sz w:val="21"/>
        </w:rPr>
        <w:t>6.4 成本—性能Pareto前沿</w:t>
      </w:r>
    </w:p>
    <w:p w14:paraId="067E101E">
      <w:pPr>
        <w:widowControl/>
        <w:spacing w:after="40"/>
        <w:ind w:left="454"/>
      </w:pPr>
      <w:r>
        <w:rPr>
          <w:rFonts w:ascii="Times New Roman" w:hAnsi="Times New Roman" w:eastAsia="Noto Serif CJK SC"/>
          <w:sz w:val="21"/>
        </w:rPr>
        <w:t>6.5 质量优先/成本优先/均衡情景</w:t>
      </w:r>
    </w:p>
    <w:p w14:paraId="76F018D9">
      <w:pPr>
        <w:widowControl/>
        <w:spacing w:after="40"/>
        <w:ind w:left="454"/>
      </w:pPr>
      <w:r>
        <w:rPr>
          <w:rFonts w:ascii="Times New Roman" w:hAnsi="Times New Roman" w:eastAsia="Noto Serif CJK SC"/>
          <w:sz w:val="21"/>
        </w:rPr>
        <w:t>6.6 第二教师升级与停止规则</w:t>
      </w:r>
    </w:p>
    <w:p w14:paraId="33E20E43">
      <w:pPr>
        <w:widowControl/>
        <w:spacing w:after="40"/>
        <w:ind w:left="454"/>
      </w:pPr>
      <w:r>
        <w:rPr>
          <w:rFonts w:ascii="Times New Roman" w:hAnsi="Times New Roman" w:eastAsia="Noto Serif CJK SC"/>
          <w:sz w:val="21"/>
        </w:rPr>
        <w:t>6.7 过程可追溯与项目治理建议</w:t>
      </w:r>
    </w:p>
    <w:p w14:paraId="4EB97B0C">
      <w:pPr>
        <w:widowControl/>
        <w:spacing w:before="120" w:after="60"/>
      </w:pPr>
      <w:r>
        <w:rPr>
          <w:rFonts w:ascii="Times New Roman" w:hAnsi="Times New Roman" w:eastAsia="Noto Sans CJK SC"/>
          <w:b/>
          <w:sz w:val="22"/>
        </w:rPr>
        <w:t>第七章 结论与展望</w:t>
      </w:r>
    </w:p>
    <w:p w14:paraId="75FF501D">
      <w:pPr>
        <w:widowControl/>
        <w:spacing w:after="40"/>
        <w:ind w:left="454"/>
      </w:pPr>
      <w:r>
        <w:rPr>
          <w:rFonts w:ascii="Times New Roman" w:hAnsi="Times New Roman" w:eastAsia="Noto Serif CJK SC"/>
          <w:sz w:val="21"/>
        </w:rPr>
        <w:t>7.1 主要研究结论</w:t>
      </w:r>
    </w:p>
    <w:p w14:paraId="07635CE2">
      <w:pPr>
        <w:widowControl/>
        <w:spacing w:after="40"/>
        <w:ind w:left="454"/>
      </w:pPr>
      <w:r>
        <w:rPr>
          <w:rFonts w:ascii="Times New Roman" w:hAnsi="Times New Roman" w:eastAsia="Noto Serif CJK SC"/>
          <w:sz w:val="21"/>
        </w:rPr>
        <w:t>7.2 管理启示与实践建议</w:t>
      </w:r>
    </w:p>
    <w:p w14:paraId="0B59D065">
      <w:pPr>
        <w:widowControl/>
        <w:spacing w:after="40"/>
        <w:ind w:left="454"/>
      </w:pPr>
      <w:r>
        <w:rPr>
          <w:rFonts w:ascii="Times New Roman" w:hAnsi="Times New Roman" w:eastAsia="Noto Serif CJK SC"/>
          <w:sz w:val="21"/>
        </w:rPr>
        <w:t>7.3 研究创新与贡献</w:t>
      </w:r>
    </w:p>
    <w:p w14:paraId="12185104">
      <w:pPr>
        <w:widowControl/>
        <w:spacing w:after="40"/>
        <w:ind w:left="454"/>
      </w:pPr>
      <w:r>
        <w:rPr>
          <w:rFonts w:ascii="Times New Roman" w:hAnsi="Times New Roman" w:eastAsia="Noto Serif CJK SC"/>
          <w:sz w:val="21"/>
        </w:rPr>
        <w:t>7.4 局限性</w:t>
      </w:r>
    </w:p>
    <w:p w14:paraId="2A5F9DCD">
      <w:pPr>
        <w:widowControl/>
        <w:spacing w:after="40"/>
        <w:ind w:left="454"/>
      </w:pPr>
      <w:r>
        <w:rPr>
          <w:rFonts w:ascii="Times New Roman" w:hAnsi="Times New Roman" w:eastAsia="Noto Serif CJK SC"/>
          <w:sz w:val="21"/>
        </w:rPr>
        <w:t>7.5 后续研究展望</w:t>
      </w:r>
    </w:p>
    <w:p w14:paraId="115C5022">
      <w:pPr>
        <w:pStyle w:val="3"/>
        <w:keepNext/>
        <w:widowControl/>
        <w:spacing w:before="200" w:after="100" w:line="276" w:lineRule="auto"/>
      </w:pPr>
      <w:r>
        <w:rPr>
          <w:rFonts w:ascii="Times New Roman" w:hAnsi="Times New Roman" w:eastAsia="Noto Sans CJK SC"/>
          <w:b/>
          <w:sz w:val="32"/>
        </w:rPr>
        <w:t>十一、主要参考文献</w:t>
      </w:r>
    </w:p>
    <w:p w14:paraId="4AF3291A">
      <w:pPr>
        <w:widowControl/>
        <w:spacing w:after="40" w:line="288" w:lineRule="auto"/>
        <w:ind w:left="425" w:hanging="425"/>
      </w:pPr>
      <w:r>
        <w:rPr>
          <w:rFonts w:ascii="Times New Roman" w:hAnsi="Times New Roman" w:eastAsia="Noto Serif CJK SC"/>
          <w:sz w:val="19"/>
        </w:rPr>
        <w:t>[1] 东北财经大学管理科学与工程学院. 东北财经大学管理科学与工程学院MEM学位论文工作管理办法[EB/OL]. 2022-09-05.</w:t>
      </w:r>
    </w:p>
    <w:p w14:paraId="6FB03E5A">
      <w:pPr>
        <w:widowControl/>
        <w:spacing w:after="40" w:line="288" w:lineRule="auto"/>
        <w:ind w:left="425" w:hanging="425"/>
      </w:pPr>
      <w:r>
        <w:rPr>
          <w:rFonts w:ascii="Times New Roman" w:hAnsi="Times New Roman" w:eastAsia="Noto Serif CJK SC"/>
          <w:sz w:val="19"/>
        </w:rPr>
        <w:t>[2] 东北财经大学. 东北财经大学研究生学位论文格式要求[EB/OL]. 2024.</w:t>
      </w:r>
    </w:p>
    <w:p w14:paraId="681C27B6">
      <w:pPr>
        <w:widowControl/>
        <w:spacing w:after="40" w:line="288" w:lineRule="auto"/>
        <w:ind w:left="425" w:hanging="425"/>
      </w:pPr>
      <w:r>
        <w:rPr>
          <w:rFonts w:ascii="Times New Roman" w:hAnsi="Times New Roman" w:eastAsia="Noto Serif CJK SC"/>
          <w:sz w:val="19"/>
        </w:rPr>
        <w:t>[3] 全国工程管理专业学位研究生教育指导委员会. MEM专业学位论文标准与工作指南[Z]. 2021.</w:t>
      </w:r>
    </w:p>
    <w:p w14:paraId="64D32DCF">
      <w:pPr>
        <w:widowControl/>
        <w:spacing w:after="40" w:line="288" w:lineRule="auto"/>
        <w:ind w:left="425" w:hanging="425"/>
      </w:pPr>
      <w:r>
        <w:rPr>
          <w:rFonts w:ascii="Times New Roman" w:hAnsi="Times New Roman" w:eastAsia="Noto Serif CJK SC"/>
          <w:sz w:val="19"/>
        </w:rPr>
        <w:t>[4] 全国工程专业学位研究生教育指导委员会. 工程类专业学位类别硕士学位论文基本要求（试行）[Z]. 2023.</w:t>
      </w:r>
    </w:p>
    <w:p w14:paraId="535CB51D">
      <w:pPr>
        <w:widowControl/>
        <w:spacing w:after="40" w:line="288" w:lineRule="auto"/>
        <w:ind w:left="425" w:hanging="425"/>
      </w:pPr>
      <w:r>
        <w:rPr>
          <w:rFonts w:ascii="Times New Roman" w:hAnsi="Times New Roman" w:eastAsia="Noto Serif CJK SC"/>
          <w:sz w:val="19"/>
        </w:rPr>
        <w:t>[5] 国家质量监督检验检疫总局, 中国国家标准化管理委员会. GB/T 19001—2016 质量管理体系 要求[S]. 北京: 中国标准出版社, 2016.</w:t>
      </w:r>
    </w:p>
    <w:p w14:paraId="2D7C3B7E">
      <w:pPr>
        <w:widowControl/>
        <w:spacing w:after="40" w:line="288" w:lineRule="auto"/>
        <w:ind w:left="425" w:hanging="425"/>
      </w:pPr>
      <w:r>
        <w:rPr>
          <w:rFonts w:ascii="Times New Roman" w:hAnsi="Times New Roman" w:eastAsia="Noto Serif CJK SC"/>
          <w:sz w:val="19"/>
        </w:rPr>
        <w:t>[6] 戚安邦. 项目管理学[M]. 第3版. 北京: 科学出版社, 2021.</w:t>
      </w:r>
    </w:p>
    <w:p w14:paraId="7968EAEC">
      <w:pPr>
        <w:widowControl/>
        <w:spacing w:after="40" w:line="288" w:lineRule="auto"/>
        <w:ind w:left="425" w:hanging="425"/>
      </w:pPr>
      <w:r>
        <w:rPr>
          <w:rFonts w:ascii="Times New Roman" w:hAnsi="Times New Roman" w:eastAsia="Noto Serif CJK SC"/>
          <w:sz w:val="19"/>
        </w:rPr>
        <w:t>[7] 教育部. 关于深入推进学术学位与专业学位研究生教育分类发展的意见[Z]. 2023.</w:t>
      </w:r>
    </w:p>
    <w:p w14:paraId="68BC6B27">
      <w:pPr>
        <w:widowControl/>
        <w:spacing w:after="40" w:line="288" w:lineRule="auto"/>
        <w:ind w:left="425" w:hanging="425"/>
      </w:pPr>
      <w:r>
        <w:rPr>
          <w:rFonts w:ascii="Times New Roman" w:hAnsi="Times New Roman" w:eastAsia="Noto Serif CJK SC"/>
          <w:sz w:val="19"/>
        </w:rPr>
        <w:t>[8] 国务院学位委员会, 教育部. 专业学位研究生教育发展方案（2020—2025）[Z]. 2020.</w:t>
      </w:r>
    </w:p>
    <w:p w14:paraId="46163768">
      <w:pPr>
        <w:widowControl/>
        <w:spacing w:after="40" w:line="288" w:lineRule="auto"/>
        <w:ind w:left="425" w:hanging="425"/>
      </w:pPr>
      <w:r>
        <w:rPr>
          <w:rFonts w:ascii="Times New Roman" w:hAnsi="Times New Roman" w:eastAsia="Noto Serif CJK SC"/>
          <w:sz w:val="19"/>
        </w:rPr>
        <w:t>[9] Juran J M, Gryna F M. Juran’s Quality Control Handbook[M]. 4th ed. New York: McGraw-Hill, 1988.</w:t>
      </w:r>
    </w:p>
    <w:p w14:paraId="3A46ABDF">
      <w:pPr>
        <w:widowControl/>
        <w:spacing w:after="40" w:line="288" w:lineRule="auto"/>
        <w:ind w:left="425" w:hanging="425"/>
      </w:pPr>
      <w:r>
        <w:rPr>
          <w:rFonts w:ascii="Times New Roman" w:hAnsi="Times New Roman" w:eastAsia="Noto Serif CJK SC"/>
          <w:sz w:val="19"/>
        </w:rPr>
        <w:t>[10] Feigenbaum A V. Total quality control[J]. Harvard Business Review, 1956, 34(6): 93-101.</w:t>
      </w:r>
    </w:p>
    <w:p w14:paraId="4C5D8188">
      <w:pPr>
        <w:widowControl/>
        <w:spacing w:after="40" w:line="288" w:lineRule="auto"/>
        <w:ind w:left="425" w:hanging="425"/>
      </w:pPr>
      <w:r>
        <w:rPr>
          <w:rFonts w:ascii="Times New Roman" w:hAnsi="Times New Roman" w:eastAsia="Noto Serif CJK SC"/>
          <w:sz w:val="19"/>
        </w:rPr>
        <w:t>[11] Crosby P B. Quality Is Free: The Art of Making Quality Certain[M]. New York: McGraw-Hill, 1979.</w:t>
      </w:r>
    </w:p>
    <w:p w14:paraId="50663CFA">
      <w:pPr>
        <w:widowControl/>
        <w:spacing w:after="40" w:line="288" w:lineRule="auto"/>
        <w:ind w:left="425" w:hanging="425"/>
      </w:pPr>
      <w:r>
        <w:rPr>
          <w:rFonts w:ascii="Times New Roman" w:hAnsi="Times New Roman" w:eastAsia="Noto Serif CJK SC"/>
          <w:sz w:val="19"/>
        </w:rPr>
        <w:t>[12] Cooper R G. Stage-gate systems: A new tool for managing new products[J]. Business Horizons, 1990, 33(3): 44-54.</w:t>
      </w:r>
    </w:p>
    <w:p w14:paraId="379CECD7">
      <w:pPr>
        <w:widowControl/>
        <w:spacing w:after="40" w:line="288" w:lineRule="auto"/>
        <w:ind w:left="425" w:hanging="425"/>
      </w:pPr>
      <w:r>
        <w:rPr>
          <w:rFonts w:ascii="Times New Roman" w:hAnsi="Times New Roman" w:eastAsia="Noto Serif CJK SC"/>
          <w:sz w:val="19"/>
        </w:rPr>
        <w:t>[13] Project Management Institute. A Guide to the Project Management Body of Knowledge (PMBOK Guide)[M]. 7th ed. Newtown Square, PA: Project Management Institute, 2021.</w:t>
      </w:r>
    </w:p>
    <w:p w14:paraId="3006D8F7">
      <w:pPr>
        <w:widowControl/>
        <w:spacing w:after="40" w:line="288" w:lineRule="auto"/>
        <w:ind w:left="425" w:hanging="425"/>
      </w:pPr>
      <w:r>
        <w:rPr>
          <w:rFonts w:ascii="Times New Roman" w:hAnsi="Times New Roman" w:eastAsia="Noto Serif CJK SC"/>
          <w:sz w:val="19"/>
        </w:rPr>
        <w:t>[14] ISO. ISO 9001:2015 Quality management systems—Requirements[S]. Geneva: International Organization for Standardization, 2015.</w:t>
      </w:r>
    </w:p>
    <w:p w14:paraId="7D5CDA2B">
      <w:pPr>
        <w:widowControl/>
        <w:spacing w:after="40" w:line="288" w:lineRule="auto"/>
        <w:ind w:left="425" w:hanging="425"/>
      </w:pPr>
      <w:r>
        <w:rPr>
          <w:rFonts w:ascii="Times New Roman" w:hAnsi="Times New Roman" w:eastAsia="Noto Serif CJK SC"/>
          <w:sz w:val="19"/>
        </w:rPr>
        <w:t>[15] Flyvbjerg B. Quality control and due diligence in project management: Getting decisions right by taking the outside view[J]. International Journal of Project Management, 2013, 31(5): 760-774.</w:t>
      </w:r>
    </w:p>
    <w:p w14:paraId="7FA17435">
      <w:pPr>
        <w:widowControl/>
        <w:spacing w:after="40" w:line="288" w:lineRule="auto"/>
        <w:ind w:left="425" w:hanging="425"/>
      </w:pPr>
      <w:r>
        <w:rPr>
          <w:rFonts w:ascii="Times New Roman" w:hAnsi="Times New Roman" w:eastAsia="Noto Serif CJK SC"/>
          <w:sz w:val="19"/>
        </w:rPr>
        <w:t>[16] Wang R Y, Strong D M. Beyond accuracy: What data quality means to data consumers[J]. Journal of Management Information Systems, 1996, 12(4): 5-33.</w:t>
      </w:r>
    </w:p>
    <w:p w14:paraId="0ED60DC3">
      <w:pPr>
        <w:widowControl/>
        <w:spacing w:after="40" w:line="288" w:lineRule="auto"/>
        <w:ind w:left="425" w:hanging="425"/>
      </w:pPr>
      <w:r>
        <w:rPr>
          <w:rFonts w:ascii="Times New Roman" w:hAnsi="Times New Roman" w:eastAsia="Noto Serif CJK SC"/>
          <w:sz w:val="19"/>
        </w:rPr>
        <w:t>[17] Batini C, Cappiello C, Francalanci C, Maurino A. Methodologies for data quality assessment and improvement[J]. ACM Computing Surveys, 2009, 41(3): 1-52.</w:t>
      </w:r>
    </w:p>
    <w:p w14:paraId="72DA50B4">
      <w:pPr>
        <w:widowControl/>
        <w:spacing w:after="40" w:line="288" w:lineRule="auto"/>
        <w:ind w:left="425" w:hanging="425"/>
      </w:pPr>
      <w:r>
        <w:rPr>
          <w:rFonts w:ascii="Times New Roman" w:hAnsi="Times New Roman" w:eastAsia="Noto Serif CJK SC"/>
          <w:sz w:val="19"/>
        </w:rPr>
        <w:t>[18] Redman T C. The impact of poor data quality on the typical enterprise[J]. Communications of the ACM, 1998, 41(2): 79-82.</w:t>
      </w:r>
    </w:p>
    <w:p w14:paraId="4683B4BF">
      <w:pPr>
        <w:widowControl/>
        <w:spacing w:after="40" w:line="288" w:lineRule="auto"/>
        <w:ind w:left="425" w:hanging="425"/>
      </w:pPr>
      <w:r>
        <w:rPr>
          <w:rFonts w:ascii="Times New Roman" w:hAnsi="Times New Roman" w:eastAsia="Noto Serif CJK SC"/>
          <w:sz w:val="19"/>
        </w:rPr>
        <w:t>[19] National Institute of Standards and Technology. Artificial Intelligence Risk Management Framework (AI RMF 1.0)[R]. NIST AI 100-1, 2023.</w:t>
      </w:r>
    </w:p>
    <w:p w14:paraId="397B0DE4">
      <w:pPr>
        <w:widowControl/>
        <w:spacing w:after="40" w:line="288" w:lineRule="auto"/>
        <w:ind w:left="425" w:hanging="425"/>
      </w:pPr>
      <w:r>
        <w:rPr>
          <w:rFonts w:ascii="Times New Roman" w:hAnsi="Times New Roman" w:eastAsia="Noto Serif CJK SC"/>
          <w:sz w:val="19"/>
        </w:rPr>
        <w:t>[20] Sculley D, Holt G, Golovin D, et al. Hidden technical debt in machine learning systems[C]//Advances in Neural Information Processing Systems. 2015, 28.</w:t>
      </w:r>
    </w:p>
    <w:p w14:paraId="06FE7FFD">
      <w:pPr>
        <w:widowControl/>
        <w:spacing w:after="40" w:line="288" w:lineRule="auto"/>
        <w:ind w:left="425" w:hanging="425"/>
      </w:pPr>
      <w:r>
        <w:rPr>
          <w:rFonts w:ascii="Times New Roman" w:hAnsi="Times New Roman" w:eastAsia="Noto Serif CJK SC"/>
          <w:sz w:val="19"/>
        </w:rPr>
        <w:t>[21] Amershi S, Begel A, Bird C, et al. Software engineering for machine learning: A case study[C]//2019 IEEE/ACM 41st International Conference on Software Engineering: Software Engineering in Practice. IEEE, 2019: 291-300.</w:t>
      </w:r>
    </w:p>
    <w:p w14:paraId="0BC7E04F">
      <w:pPr>
        <w:widowControl/>
        <w:spacing w:after="40" w:line="288" w:lineRule="auto"/>
        <w:ind w:left="425" w:hanging="425"/>
      </w:pPr>
      <w:r>
        <w:rPr>
          <w:rFonts w:ascii="Times New Roman" w:hAnsi="Times New Roman" w:eastAsia="Noto Serif CJK SC"/>
          <w:sz w:val="19"/>
        </w:rPr>
        <w:t>[22] Sambasivan N, Kapania S, Highfill H, Akrong D, Paritosh P, Aroyo L. “Everyone wants to do the model work, not the data work”: Data cascades in high-stakes AI[C]//Proceedings of the 2021 CHI Conference on Human Factors in Computing Systems. 2021: 1-15.</w:t>
      </w:r>
    </w:p>
    <w:p w14:paraId="2210549E">
      <w:pPr>
        <w:widowControl/>
        <w:spacing w:after="40" w:line="288" w:lineRule="auto"/>
        <w:ind w:left="425" w:hanging="425"/>
      </w:pPr>
      <w:r>
        <w:rPr>
          <w:rFonts w:ascii="Times New Roman" w:hAnsi="Times New Roman" w:eastAsia="Noto Serif CJK SC"/>
          <w:sz w:val="19"/>
        </w:rPr>
        <w:t>[23] Gebru T, Morgenstern J, Vecchione B, et al. Datasheets for datasets[J]. Communications of the ACM, 2021, 64(12): 86-92.</w:t>
      </w:r>
    </w:p>
    <w:p w14:paraId="1FA79D85">
      <w:pPr>
        <w:widowControl/>
        <w:spacing w:after="40" w:line="288" w:lineRule="auto"/>
        <w:ind w:left="425" w:hanging="425"/>
      </w:pPr>
      <w:r>
        <w:rPr>
          <w:rFonts w:ascii="Times New Roman" w:hAnsi="Times New Roman" w:eastAsia="Noto Serif CJK SC"/>
          <w:sz w:val="19"/>
        </w:rPr>
        <w:t>[24] Mitchell M, Wu S, Zaldivar A, et al. Model cards for model reporting[C]//Proceedings of the Conference on Fairness, Accountability, and Transparency. 2019: 220-229.</w:t>
      </w:r>
    </w:p>
    <w:p w14:paraId="5B011303">
      <w:pPr>
        <w:widowControl/>
        <w:spacing w:after="40" w:line="288" w:lineRule="auto"/>
        <w:ind w:left="425" w:hanging="425"/>
      </w:pPr>
      <w:r>
        <w:rPr>
          <w:rFonts w:ascii="Times New Roman" w:hAnsi="Times New Roman" w:eastAsia="Noto Serif CJK SC"/>
          <w:sz w:val="19"/>
        </w:rPr>
        <w:t>[25] Breck E, Cai S, Nielsen E, Salib M, Sculley D. The ML test score: A rubric for ML production readiness and technical debt reduction[C]//2017 IEEE International Conference on Big Data. IEEE, 2017: 1123-1132.</w:t>
      </w:r>
    </w:p>
    <w:p w14:paraId="04CD42E0">
      <w:pPr>
        <w:widowControl/>
        <w:spacing w:after="40" w:line="288" w:lineRule="auto"/>
        <w:ind w:left="425" w:hanging="425"/>
      </w:pPr>
      <w:r>
        <w:rPr>
          <w:rFonts w:ascii="Times New Roman" w:hAnsi="Times New Roman" w:eastAsia="Noto Serif CJK SC"/>
          <w:sz w:val="19"/>
        </w:rPr>
        <w:t>[26] Polyzotis N, Roy S, Whang S E, Zinkevich M. Data management challenges in production machine learning[C]//Proceedings of the 2017 ACM International Conference on Management of Data. 2017: 1723-1726.</w:t>
      </w:r>
    </w:p>
    <w:p w14:paraId="1A9761FF">
      <w:pPr>
        <w:widowControl/>
        <w:spacing w:after="40" w:line="288" w:lineRule="auto"/>
        <w:ind w:left="425" w:hanging="425"/>
      </w:pPr>
      <w:r>
        <w:rPr>
          <w:rFonts w:ascii="Times New Roman" w:hAnsi="Times New Roman" w:eastAsia="Noto Serif CJK SC"/>
          <w:sz w:val="19"/>
        </w:rPr>
        <w:t>[27] Schelter S, Biessmann F, Januschowski T, Salinas D, Seufert S. Automating large-scale data quality verification[J]. Proceedings of the VLDB Endowment, 2018, 11(12): 1781-1794.</w:t>
      </w:r>
    </w:p>
    <w:p w14:paraId="03A56C7E">
      <w:pPr>
        <w:widowControl/>
        <w:spacing w:after="40" w:line="288" w:lineRule="auto"/>
        <w:ind w:left="425" w:hanging="425"/>
      </w:pPr>
      <w:r>
        <w:rPr>
          <w:rFonts w:ascii="Times New Roman" w:hAnsi="Times New Roman" w:eastAsia="Noto Serif CJK SC"/>
          <w:sz w:val="19"/>
        </w:rPr>
        <w:t>[28] Northcutt C G, Jiang L, Chuang I L. Confident learning: Estimating uncertainty in dataset labels[J]. Journal of Artificial Intelligence Research, 2021, 70: 1373-1411.</w:t>
      </w:r>
    </w:p>
    <w:p w14:paraId="05C421B1">
      <w:pPr>
        <w:widowControl/>
        <w:spacing w:after="40" w:line="288" w:lineRule="auto"/>
        <w:ind w:left="425" w:hanging="425"/>
      </w:pPr>
      <w:r>
        <w:rPr>
          <w:rFonts w:ascii="Times New Roman" w:hAnsi="Times New Roman" w:eastAsia="Noto Serif CJK SC"/>
          <w:sz w:val="19"/>
        </w:rPr>
        <w:t>[29] Frénay B, Verleysen M. Classification in the presence of label noise: A survey[J]. IEEE Transactions on Neural Networks and Learning Systems, 2014, 25(5): 845-869.</w:t>
      </w:r>
    </w:p>
    <w:p w14:paraId="534B6F0F">
      <w:pPr>
        <w:widowControl/>
        <w:spacing w:after="40" w:line="288" w:lineRule="auto"/>
        <w:ind w:left="425" w:hanging="425"/>
      </w:pPr>
      <w:r>
        <w:rPr>
          <w:rFonts w:ascii="Times New Roman" w:hAnsi="Times New Roman" w:eastAsia="Noto Serif CJK SC"/>
          <w:sz w:val="19"/>
        </w:rPr>
        <w:t>[30] Vartak M, Subramanyam H, Lee W E, et al. ModelDB: A system for machine learning model management[C]//Proceedings of the Workshop on Human-In-the-Loop Data Analytics. 2016: 1-3.</w:t>
      </w:r>
    </w:p>
    <w:p w14:paraId="1545D643">
      <w:pPr>
        <w:widowControl/>
        <w:spacing w:after="40" w:line="288" w:lineRule="auto"/>
        <w:ind w:left="425" w:hanging="425"/>
      </w:pPr>
      <w:r>
        <w:rPr>
          <w:rFonts w:ascii="Times New Roman" w:hAnsi="Times New Roman" w:eastAsia="Noto Serif CJK SC"/>
          <w:sz w:val="19"/>
        </w:rPr>
        <w:t>[31] Lee D H. Pseudo-label: The simple and efficient semi-supervised learning method for deep neural networks[C]//ICML Workshop on Challenges in Representation Learning. 2013.</w:t>
      </w:r>
    </w:p>
    <w:p w14:paraId="1DD5F149">
      <w:pPr>
        <w:widowControl/>
        <w:spacing w:after="40" w:line="288" w:lineRule="auto"/>
        <w:ind w:left="425" w:hanging="425"/>
      </w:pPr>
      <w:r>
        <w:rPr>
          <w:rFonts w:ascii="Times New Roman" w:hAnsi="Times New Roman" w:eastAsia="Noto Serif CJK SC"/>
          <w:sz w:val="19"/>
        </w:rPr>
        <w:t>[32] Xie Q, Luong M T, Hovy E, Le Q V. Self-training with noisy student improves ImageNet classification[C]//Proceedings of the IEEE/CVF Conference on Computer Vision and Pattern Recognition. 2020: 10687-10698.</w:t>
      </w:r>
    </w:p>
    <w:p w14:paraId="723C591E">
      <w:pPr>
        <w:widowControl/>
        <w:spacing w:after="40" w:line="288" w:lineRule="auto"/>
        <w:ind w:left="425" w:hanging="425"/>
      </w:pPr>
      <w:r>
        <w:rPr>
          <w:rFonts w:ascii="Times New Roman" w:hAnsi="Times New Roman" w:eastAsia="Noto Serif CJK SC"/>
          <w:sz w:val="19"/>
        </w:rPr>
        <w:t>[33] Sohn K, Berthelot D, Carlini N, et al. FixMatch: Simplifying semi-supervised learning with consistency and confidence[C]//Advances in Neural Information Processing Systems. 2020, 33: 596-608.</w:t>
      </w:r>
    </w:p>
    <w:p w14:paraId="69642272">
      <w:pPr>
        <w:widowControl/>
        <w:spacing w:after="40" w:line="288" w:lineRule="auto"/>
        <w:ind w:left="425" w:hanging="425"/>
      </w:pPr>
      <w:r>
        <w:rPr>
          <w:rFonts w:ascii="Times New Roman" w:hAnsi="Times New Roman" w:eastAsia="Noto Serif CJK SC"/>
          <w:sz w:val="19"/>
        </w:rPr>
        <w:t>[34] Liu Y C, Ma C Y, He Z, et al. Unbiased teacher for semi-supervised object detection[C]//International Conference on Learning Representations. 2021.</w:t>
      </w:r>
    </w:p>
    <w:p w14:paraId="7AC77B20">
      <w:pPr>
        <w:widowControl/>
        <w:spacing w:after="40" w:line="288" w:lineRule="auto"/>
        <w:ind w:left="425" w:hanging="425"/>
      </w:pPr>
      <w:r>
        <w:rPr>
          <w:rFonts w:ascii="Times New Roman" w:hAnsi="Times New Roman" w:eastAsia="Noto Serif CJK SC"/>
          <w:sz w:val="19"/>
        </w:rPr>
        <w:t>[35] Xu M, Zhang Z, Hu H, et al. End-to-end semi-supervised object detection with soft teacher[C]//Proceedings of the IEEE/CVF International Conference on Computer Vision. 2021: 3060-3069.</w:t>
      </w:r>
    </w:p>
    <w:p w14:paraId="502D9191">
      <w:pPr>
        <w:widowControl/>
        <w:spacing w:after="40" w:line="288" w:lineRule="auto"/>
        <w:ind w:left="425" w:hanging="425"/>
      </w:pPr>
      <w:r>
        <w:rPr>
          <w:rFonts w:ascii="Times New Roman" w:hAnsi="Times New Roman" w:eastAsia="Noto Serif CJK SC"/>
          <w:sz w:val="19"/>
        </w:rPr>
        <w:t>[36] Carion N, Massa F, Synnaeve G, Usunier N, Kirillov A, Zagoruyko S. End-to-end object detection with transformers[C]//European Conference on Computer Vision. Cham: Springer, 2020: 213-229.</w:t>
      </w:r>
    </w:p>
    <w:p w14:paraId="0B41D4CF">
      <w:pPr>
        <w:widowControl/>
        <w:spacing w:after="40" w:line="288" w:lineRule="auto"/>
        <w:ind w:left="425" w:hanging="425"/>
      </w:pPr>
      <w:r>
        <w:rPr>
          <w:rFonts w:ascii="Times New Roman" w:hAnsi="Times New Roman" w:eastAsia="Noto Serif CJK SC"/>
          <w:sz w:val="19"/>
        </w:rPr>
        <w:t>[37] Zhang H, Li F, Liu S, et al. DINO: DETR with improved denoising anchor boxes for end-to-end object detection[C]//International Conference on Learning Representations. 2023.</w:t>
      </w:r>
    </w:p>
    <w:p w14:paraId="73438FBD">
      <w:pPr>
        <w:widowControl/>
        <w:spacing w:after="40" w:line="288" w:lineRule="auto"/>
        <w:ind w:left="425" w:hanging="425"/>
      </w:pPr>
      <w:r>
        <w:rPr>
          <w:rFonts w:ascii="Times New Roman" w:hAnsi="Times New Roman" w:eastAsia="Noto Serif CJK SC"/>
          <w:sz w:val="19"/>
        </w:rPr>
        <w:t>[38] Li L H, Zhang P, Zhang H, et al. Grounded language-image pre-training[C]//Proceedings of the IEEE/CVF Conference on Computer Vision and Pattern Recognition. 2022: 10965-10975.</w:t>
      </w:r>
    </w:p>
    <w:p w14:paraId="50BE8B9F">
      <w:pPr>
        <w:widowControl/>
        <w:spacing w:after="40" w:line="288" w:lineRule="auto"/>
        <w:ind w:left="425" w:hanging="425"/>
      </w:pPr>
      <w:r>
        <w:rPr>
          <w:rFonts w:ascii="Times New Roman" w:hAnsi="Times New Roman" w:eastAsia="Noto Serif CJK SC"/>
          <w:sz w:val="19"/>
        </w:rPr>
        <w:t>[39] Minderer M, Gritsenko A, Stone A, et al. Simple open-vocabulary object detection with vision transformers[C]//European Conference on Computer Vision. Cham: Springer, 2022: 728-755.</w:t>
      </w:r>
    </w:p>
    <w:p w14:paraId="3F8A0391">
      <w:pPr>
        <w:widowControl/>
        <w:spacing w:after="40" w:line="288" w:lineRule="auto"/>
        <w:ind w:left="425" w:hanging="425"/>
      </w:pPr>
      <w:r>
        <w:rPr>
          <w:rFonts w:ascii="Times New Roman" w:hAnsi="Times New Roman" w:eastAsia="Noto Serif CJK SC"/>
          <w:sz w:val="19"/>
        </w:rPr>
        <w:t>[40] Liu S, Zeng Z, Ren T, et al. Grounding DINO: Marrying DINO with grounded pre-training for open-set object detection[EB/OL]. arXiv:2303.05499, 2023.</w:t>
      </w:r>
    </w:p>
    <w:p w14:paraId="5556EF9B">
      <w:pPr>
        <w:widowControl/>
        <w:spacing w:after="40" w:line="288" w:lineRule="auto"/>
        <w:ind w:left="425" w:hanging="425"/>
      </w:pPr>
      <w:r>
        <w:rPr>
          <w:rFonts w:ascii="Times New Roman" w:hAnsi="Times New Roman" w:eastAsia="Noto Serif CJK SC"/>
          <w:sz w:val="19"/>
        </w:rPr>
        <w:t>[41] Ren T, Jiang Q, Liu S, et al. Grounding DINO 1.5: Advance the “edge” of open-set object detection[EB/OL]. arXiv:2405.10300, 2024.</w:t>
      </w:r>
    </w:p>
    <w:p w14:paraId="1258FB64">
      <w:pPr>
        <w:widowControl/>
        <w:spacing w:after="40" w:line="288" w:lineRule="auto"/>
        <w:ind w:left="425" w:hanging="425"/>
      </w:pPr>
      <w:r>
        <w:rPr>
          <w:rFonts w:ascii="Times New Roman" w:hAnsi="Times New Roman" w:eastAsia="Noto Serif CJK SC"/>
          <w:sz w:val="19"/>
        </w:rPr>
        <w:t>[42] Kirillov A, Mintun E, Ravi N, et al. Segment anything[C]//Proceedings of the IEEE/CVF International Conference on Computer Vision. 2023: 4015-4026.</w:t>
      </w:r>
    </w:p>
    <w:p w14:paraId="73E7BAD9">
      <w:pPr>
        <w:widowControl/>
        <w:spacing w:after="40" w:line="288" w:lineRule="auto"/>
        <w:ind w:left="425" w:hanging="425"/>
      </w:pPr>
      <w:r>
        <w:rPr>
          <w:rFonts w:ascii="Times New Roman" w:hAnsi="Times New Roman" w:eastAsia="Noto Serif CJK SC"/>
          <w:sz w:val="19"/>
        </w:rPr>
        <w:t>[43] Ravi N, Gabeur V, Hu Y T, et al. SAM 2: Segment anything in images and videos[EB/OL]. arXiv:2408.00714, 2024.</w:t>
      </w:r>
    </w:p>
    <w:p w14:paraId="0093B090">
      <w:pPr>
        <w:widowControl/>
        <w:spacing w:after="40" w:line="288" w:lineRule="auto"/>
        <w:ind w:left="425" w:hanging="425"/>
      </w:pPr>
      <w:r>
        <w:rPr>
          <w:rFonts w:ascii="Times New Roman" w:hAnsi="Times New Roman" w:eastAsia="Noto Serif CJK SC"/>
          <w:sz w:val="19"/>
        </w:rPr>
        <w:t>[44] Meta AI. SAM 3: Segment Anything with Concepts[EB/OL]. arXiv:2511.16719, 2025.</w:t>
      </w:r>
    </w:p>
    <w:p w14:paraId="3461E907">
      <w:pPr>
        <w:widowControl/>
        <w:spacing w:after="40" w:line="288" w:lineRule="auto"/>
        <w:ind w:left="425" w:hanging="425"/>
      </w:pPr>
      <w:r>
        <w:rPr>
          <w:rFonts w:ascii="Times New Roman" w:hAnsi="Times New Roman" w:eastAsia="Noto Serif CJK SC"/>
          <w:sz w:val="19"/>
        </w:rPr>
        <w:t>[45] Redmon J, Divvala S, Girshick R, Farhadi A. You only look once: Unified, real-time object detection[C]//Proceedings of the IEEE Conference on Computer Vision and Pattern Recognition. 2016: 779-788.</w:t>
      </w:r>
    </w:p>
    <w:p w14:paraId="6CE25A8F">
      <w:pPr>
        <w:widowControl/>
        <w:spacing w:after="40" w:line="288" w:lineRule="auto"/>
        <w:ind w:left="425" w:hanging="425"/>
      </w:pPr>
      <w:r>
        <w:rPr>
          <w:rFonts w:ascii="Times New Roman" w:hAnsi="Times New Roman" w:eastAsia="Noto Serif CJK SC"/>
          <w:sz w:val="19"/>
        </w:rPr>
        <w:t>[46] Töreyin B U, Dedeoğlu Y, Güdükbay U, Çetin A E. Computer vision based method for real-time fire and flame detection[J]. Pattern Recognition Letters, 2006, 27(1): 49-58.</w:t>
      </w:r>
    </w:p>
    <w:p w14:paraId="06037572">
      <w:pPr>
        <w:widowControl/>
        <w:spacing w:after="40" w:line="288" w:lineRule="auto"/>
        <w:ind w:left="425" w:hanging="425"/>
      </w:pPr>
      <w:r>
        <w:rPr>
          <w:rFonts w:ascii="Times New Roman" w:hAnsi="Times New Roman" w:eastAsia="Noto Serif CJK SC"/>
          <w:sz w:val="19"/>
        </w:rPr>
        <w:t>[47] Muhammad K, Ahmad J, Lv Z, Bellavista P, Yang P, Baik S W. Efficient deep CNN-based fire detection and localization in video surveillance applications[J]. IEEE Transactions on Systems, Man, and Cybernetics: Systems, 2019, 49(7): 1419-1434.</w:t>
      </w:r>
    </w:p>
    <w:p w14:paraId="39B9C5C9">
      <w:pPr>
        <w:widowControl/>
        <w:spacing w:after="40" w:line="288" w:lineRule="auto"/>
        <w:ind w:left="425" w:hanging="425"/>
      </w:pPr>
      <w:r>
        <w:rPr>
          <w:rFonts w:ascii="Times New Roman" w:hAnsi="Times New Roman" w:eastAsia="Noto Serif CJK SC"/>
          <w:sz w:val="19"/>
        </w:rPr>
        <w:t>[48] Muhammad K, Ahmad J, Baik S W. Early fire detection using convolutional neural networks during surveillance for effective disaster management[J]. Neurocomputing, 2018, 288: 30-42.</w:t>
      </w:r>
    </w:p>
    <w:p w14:paraId="3034C4B6">
      <w:pPr>
        <w:widowControl/>
      </w:pPr>
      <w:r>
        <w:br w:type="page"/>
      </w:r>
    </w:p>
    <w:p w14:paraId="57B4D086">
      <w:pPr>
        <w:pStyle w:val="3"/>
        <w:keepNext/>
        <w:widowControl/>
        <w:spacing w:before="200" w:after="100" w:line="276" w:lineRule="auto"/>
      </w:pPr>
      <w:r>
        <w:rPr>
          <w:rFonts w:ascii="Times New Roman" w:hAnsi="Times New Roman" w:eastAsia="Noto Sans CJK SC"/>
          <w:b/>
          <w:sz w:val="32"/>
        </w:rPr>
        <w:t>附录A  开题后正式实验执行清单</w:t>
      </w:r>
    </w:p>
    <w:tbl>
      <w:tblPr>
        <w:tblStyle w:val="32"/>
        <w:tblW w:w="0" w:type="auto"/>
        <w:jc w:val="center"/>
        <w:tblLayout w:type="fixed"/>
        <w:tblCellMar>
          <w:top w:w="0" w:type="dxa"/>
          <w:left w:w="108" w:type="dxa"/>
          <w:bottom w:w="0" w:type="dxa"/>
          <w:right w:w="108" w:type="dxa"/>
        </w:tblCellMar>
      </w:tblPr>
      <w:tblGrid>
        <w:gridCol w:w="8957"/>
      </w:tblGrid>
      <w:tr w14:paraId="424C2062">
        <w:tblPrEx>
          <w:tblCellMar>
            <w:top w:w="0" w:type="dxa"/>
            <w:left w:w="108" w:type="dxa"/>
            <w:bottom w:w="0" w:type="dxa"/>
            <w:right w:w="108" w:type="dxa"/>
          </w:tblCellMar>
        </w:tblPrEx>
        <w:trPr>
          <w:jc w:val="center"/>
        </w:trPr>
        <w:tc>
          <w:tcPr>
            <w:tcW w:w="9292" w:type="dxa"/>
            <w:shd w:val="clear" w:color="auto" w:fill="EAF5EA"/>
            <w:tcMar>
              <w:top w:w="150" w:type="dxa"/>
              <w:left w:w="180" w:type="dxa"/>
              <w:bottom w:w="150" w:type="dxa"/>
              <w:right w:w="180" w:type="dxa"/>
            </w:tcMar>
          </w:tcPr>
          <w:p w14:paraId="5B273D72">
            <w:pPr>
              <w:spacing w:after="60"/>
            </w:pPr>
            <w:r>
              <w:rPr>
                <w:rFonts w:ascii="Times New Roman" w:hAnsi="Times New Roman" w:eastAsia="Noto Sans CJK SC"/>
                <w:b/>
                <w:sz w:val="20"/>
              </w:rPr>
              <w:t>使用方式</w:t>
            </w:r>
          </w:p>
          <w:p w14:paraId="2DFBBB2F">
            <w:pPr>
              <w:spacing w:after="0" w:line="324" w:lineRule="auto"/>
            </w:pPr>
            <w:r>
              <w:rPr>
                <w:rFonts w:ascii="Times New Roman" w:hAnsi="Times New Roman" w:eastAsia="Noto Serif CJK SC"/>
                <w:sz w:val="20"/>
              </w:rPr>
              <w:t>每完成一项，在自己的实验日志中勾选并记录版本号、时间、GPU小时和结果。不要因为某次Independent Test结果好看就回头调阈值；参数选择必须停留在Development/Validation。</w:t>
            </w:r>
          </w:p>
        </w:tc>
      </w:tr>
    </w:tbl>
    <w:p w14:paraId="7DD53124">
      <w:pPr>
        <w:widowControl/>
        <w:spacing w:after="20"/>
      </w:pPr>
    </w:p>
    <w:p w14:paraId="7E761ED7">
      <w:pPr>
        <w:widowControl/>
        <w:spacing w:before="80" w:after="80"/>
        <w:jc w:val="center"/>
      </w:pPr>
      <w:r>
        <w:rPr>
          <w:rFonts w:ascii="Times New Roman" w:hAnsi="Times New Roman" w:eastAsia="Noto Sans CJK SC"/>
          <w:b/>
          <w:sz w:val="18"/>
        </w:rPr>
        <w:t>表A-1  后续执行路线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723D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shd w:val="clear" w:color="auto" w:fill="D9EAF7"/>
            <w:tcMar>
              <w:top w:w="110" w:type="dxa"/>
              <w:left w:w="100" w:type="dxa"/>
              <w:bottom w:w="110" w:type="dxa"/>
              <w:right w:w="100" w:type="dxa"/>
            </w:tcMar>
            <w:vAlign w:val="center"/>
          </w:tcPr>
          <w:p w14:paraId="7B8DC43B">
            <w:pPr>
              <w:spacing w:after="0" w:line="240" w:lineRule="auto"/>
              <w:jc w:val="center"/>
            </w:pPr>
            <w:r>
              <w:rPr>
                <w:rFonts w:ascii="Times New Roman" w:hAnsi="Times New Roman" w:eastAsia="Noto Sans CJK SC"/>
                <w:b/>
                <w:sz w:val="17"/>
              </w:rPr>
              <w:t>编号</w:t>
            </w:r>
          </w:p>
        </w:tc>
        <w:tc>
          <w:tcPr>
            <w:tcW w:w="5443" w:type="dxa"/>
            <w:shd w:val="clear" w:color="auto" w:fill="D9EAF7"/>
            <w:tcMar>
              <w:top w:w="110" w:type="dxa"/>
              <w:left w:w="100" w:type="dxa"/>
              <w:bottom w:w="110" w:type="dxa"/>
              <w:right w:w="100" w:type="dxa"/>
            </w:tcMar>
            <w:vAlign w:val="center"/>
          </w:tcPr>
          <w:p w14:paraId="5E153CEB">
            <w:pPr>
              <w:spacing w:after="0" w:line="240" w:lineRule="auto"/>
              <w:jc w:val="center"/>
            </w:pPr>
            <w:r>
              <w:rPr>
                <w:rFonts w:ascii="Times New Roman" w:hAnsi="Times New Roman" w:eastAsia="Noto Sans CJK SC"/>
                <w:b/>
                <w:sz w:val="17"/>
              </w:rPr>
              <w:t>你要做什么</w:t>
            </w:r>
          </w:p>
        </w:tc>
        <w:tc>
          <w:tcPr>
            <w:tcW w:w="1984" w:type="dxa"/>
            <w:shd w:val="clear" w:color="auto" w:fill="D9EAF7"/>
            <w:tcMar>
              <w:top w:w="110" w:type="dxa"/>
              <w:left w:w="100" w:type="dxa"/>
              <w:bottom w:w="110" w:type="dxa"/>
              <w:right w:w="100" w:type="dxa"/>
            </w:tcMar>
            <w:vAlign w:val="center"/>
          </w:tcPr>
          <w:p w14:paraId="7E997DF6">
            <w:pPr>
              <w:spacing w:after="0" w:line="240" w:lineRule="auto"/>
              <w:jc w:val="center"/>
            </w:pPr>
            <w:r>
              <w:rPr>
                <w:rFonts w:ascii="Times New Roman" w:hAnsi="Times New Roman" w:eastAsia="Noto Sans CJK SC"/>
                <w:b/>
                <w:sz w:val="17"/>
              </w:rPr>
              <w:t>完成标准</w:t>
            </w:r>
          </w:p>
        </w:tc>
      </w:tr>
      <w:tr w14:paraId="6581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0D64BA75">
            <w:pPr>
              <w:spacing w:after="0" w:line="276" w:lineRule="auto"/>
              <w:jc w:val="center"/>
            </w:pPr>
            <w:r>
              <w:rPr>
                <w:rFonts w:ascii="Times New Roman" w:hAnsi="Times New Roman" w:eastAsia="Noto Serif CJK SC"/>
                <w:sz w:val="17"/>
              </w:rPr>
              <w:t>A0 数据与测试治理</w:t>
            </w:r>
          </w:p>
        </w:tc>
        <w:tc>
          <w:tcPr>
            <w:tcW w:w="5443" w:type="dxa"/>
            <w:tcMar>
              <w:top w:w="90" w:type="dxa"/>
              <w:left w:w="100" w:type="dxa"/>
              <w:bottom w:w="90" w:type="dxa"/>
              <w:right w:w="100" w:type="dxa"/>
            </w:tcMar>
            <w:vAlign w:val="center"/>
          </w:tcPr>
          <w:p w14:paraId="60C93F6A">
            <w:pPr>
              <w:spacing w:after="0" w:line="276" w:lineRule="auto"/>
              <w:jc w:val="left"/>
            </w:pPr>
            <w:r>
              <w:rPr>
                <w:rFonts w:ascii="Times New Roman" w:hAnsi="Times New Roman" w:eastAsia="Noto Serif CJK SC"/>
                <w:sz w:val="17"/>
              </w:rPr>
              <w:t>冻结2804张Training/Development清单；建立source_group_id；确认当前274张Pilot-Test后续不再调参；优先建立未触碰Final Holdout。</w:t>
            </w:r>
          </w:p>
        </w:tc>
        <w:tc>
          <w:tcPr>
            <w:tcW w:w="1984" w:type="dxa"/>
            <w:tcMar>
              <w:top w:w="90" w:type="dxa"/>
              <w:left w:w="100" w:type="dxa"/>
              <w:bottom w:w="90" w:type="dxa"/>
              <w:right w:w="100" w:type="dxa"/>
            </w:tcMar>
            <w:vAlign w:val="center"/>
          </w:tcPr>
          <w:p w14:paraId="4A7717F2">
            <w:pPr>
              <w:spacing w:after="0" w:line="276" w:lineRule="auto"/>
              <w:jc w:val="left"/>
            </w:pPr>
            <w:r>
              <w:rPr>
                <w:rFonts w:ascii="Times New Roman" w:hAnsi="Times New Roman" w:eastAsia="Noto Serif CJK SC"/>
                <w:sz w:val="17"/>
              </w:rPr>
              <w:t>记录run_id、数据/标签/模型版本及Gate结论</w:t>
            </w:r>
          </w:p>
        </w:tc>
      </w:tr>
      <w:tr w14:paraId="5D1B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276CA7C3">
            <w:pPr>
              <w:spacing w:after="0" w:line="276" w:lineRule="auto"/>
              <w:jc w:val="center"/>
            </w:pPr>
            <w:r>
              <w:rPr>
                <w:rFonts w:ascii="Times New Roman" w:hAnsi="Times New Roman" w:eastAsia="Noto Serif CJK SC"/>
                <w:sz w:val="17"/>
              </w:rPr>
              <w:t>A1 Prompt冻结</w:t>
            </w:r>
          </w:p>
        </w:tc>
        <w:tc>
          <w:tcPr>
            <w:tcW w:w="5443" w:type="dxa"/>
            <w:tcMar>
              <w:top w:w="90" w:type="dxa"/>
              <w:left w:w="100" w:type="dxa"/>
              <w:bottom w:w="90" w:type="dxa"/>
              <w:right w:w="100" w:type="dxa"/>
            </w:tcMar>
            <w:vAlign w:val="center"/>
          </w:tcPr>
          <w:p w14:paraId="7F440FDE">
            <w:pPr>
              <w:spacing w:after="0" w:line="276" w:lineRule="auto"/>
              <w:jc w:val="left"/>
            </w:pPr>
            <w:r>
              <w:rPr>
                <w:rFonts w:ascii="Times New Roman" w:hAnsi="Times New Roman" w:eastAsia="Noto Serif CJK SC"/>
                <w:sz w:val="17"/>
              </w:rPr>
              <w:t>完成16候选粗筛；Top-2复筛；固定fire/smoke prompt、score threshold和prompt_id。</w:t>
            </w:r>
          </w:p>
        </w:tc>
        <w:tc>
          <w:tcPr>
            <w:tcW w:w="1984" w:type="dxa"/>
            <w:tcMar>
              <w:top w:w="90" w:type="dxa"/>
              <w:left w:w="100" w:type="dxa"/>
              <w:bottom w:w="90" w:type="dxa"/>
              <w:right w:w="100" w:type="dxa"/>
            </w:tcMar>
            <w:vAlign w:val="center"/>
          </w:tcPr>
          <w:p w14:paraId="1B5F191B">
            <w:pPr>
              <w:spacing w:after="0" w:line="276" w:lineRule="auto"/>
              <w:jc w:val="left"/>
            </w:pPr>
            <w:r>
              <w:rPr>
                <w:rFonts w:ascii="Times New Roman" w:hAnsi="Times New Roman" w:eastAsia="Noto Serif CJK SC"/>
                <w:sz w:val="17"/>
              </w:rPr>
              <w:t>记录run_id、数据/标签/模型版本及Gate结论</w:t>
            </w:r>
          </w:p>
        </w:tc>
      </w:tr>
      <w:tr w14:paraId="1D03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0574FEDF">
            <w:pPr>
              <w:spacing w:after="0" w:line="276" w:lineRule="auto"/>
              <w:jc w:val="center"/>
            </w:pPr>
            <w:r>
              <w:rPr>
                <w:rFonts w:ascii="Times New Roman" w:hAnsi="Times New Roman" w:eastAsia="Noto Serif CJK SC"/>
                <w:sz w:val="17"/>
              </w:rPr>
              <w:t>A2 正式E0/E1</w:t>
            </w:r>
          </w:p>
        </w:tc>
        <w:tc>
          <w:tcPr>
            <w:tcW w:w="5443" w:type="dxa"/>
            <w:tcMar>
              <w:top w:w="90" w:type="dxa"/>
              <w:left w:w="100" w:type="dxa"/>
              <w:bottom w:w="90" w:type="dxa"/>
              <w:right w:w="100" w:type="dxa"/>
            </w:tcMar>
            <w:vAlign w:val="center"/>
          </w:tcPr>
          <w:p w14:paraId="761D48FE">
            <w:pPr>
              <w:spacing w:after="0" w:line="276" w:lineRule="auto"/>
              <w:jc w:val="left"/>
            </w:pPr>
            <w:r>
              <w:rPr>
                <w:rFonts w:ascii="Times New Roman" w:hAnsi="Times New Roman" w:eastAsia="Noto Serif CJK SC"/>
                <w:sz w:val="17"/>
              </w:rPr>
              <w:t>统一YOLO超参数；E0人工GT、E1 DINO V1各3 seeds；计算均值、标准差和性能保留率。</w:t>
            </w:r>
          </w:p>
        </w:tc>
        <w:tc>
          <w:tcPr>
            <w:tcW w:w="1984" w:type="dxa"/>
            <w:tcMar>
              <w:top w:w="90" w:type="dxa"/>
              <w:left w:w="100" w:type="dxa"/>
              <w:bottom w:w="90" w:type="dxa"/>
              <w:right w:w="100" w:type="dxa"/>
            </w:tcMar>
            <w:vAlign w:val="center"/>
          </w:tcPr>
          <w:p w14:paraId="52BE4C4F">
            <w:pPr>
              <w:spacing w:after="0" w:line="276" w:lineRule="auto"/>
              <w:jc w:val="left"/>
            </w:pPr>
            <w:r>
              <w:rPr>
                <w:rFonts w:ascii="Times New Roman" w:hAnsi="Times New Roman" w:eastAsia="Noto Serif CJK SC"/>
                <w:sz w:val="17"/>
              </w:rPr>
              <w:t>记录run_id、数据/标签/模型版本及Gate结论</w:t>
            </w:r>
          </w:p>
        </w:tc>
      </w:tr>
      <w:tr w14:paraId="7628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02662874">
            <w:pPr>
              <w:spacing w:after="0" w:line="276" w:lineRule="auto"/>
              <w:jc w:val="center"/>
            </w:pPr>
            <w:r>
              <w:rPr>
                <w:rFonts w:ascii="Times New Roman" w:hAnsi="Times New Roman" w:eastAsia="Noto Serif CJK SC"/>
                <w:sz w:val="17"/>
              </w:rPr>
              <w:t>A3 质量诊断</w:t>
            </w:r>
          </w:p>
        </w:tc>
        <w:tc>
          <w:tcPr>
            <w:tcW w:w="5443" w:type="dxa"/>
            <w:tcMar>
              <w:top w:w="90" w:type="dxa"/>
              <w:left w:w="100" w:type="dxa"/>
              <w:bottom w:w="90" w:type="dxa"/>
              <w:right w:w="100" w:type="dxa"/>
            </w:tcMar>
            <w:vAlign w:val="center"/>
          </w:tcPr>
          <w:p w14:paraId="6910A12E">
            <w:pPr>
              <w:spacing w:after="0" w:line="276" w:lineRule="auto"/>
              <w:jc w:val="left"/>
            </w:pPr>
            <w:r>
              <w:rPr>
                <w:rFonts w:ascii="Times New Roman" w:hAnsi="Times New Roman" w:eastAsia="Noto Serif CJK SC"/>
                <w:sz w:val="17"/>
              </w:rPr>
              <w:t>对fire/smoke分别统计missing、FP、over/under-box、many-to-one、小目标；输出典型图和错误占比。</w:t>
            </w:r>
          </w:p>
        </w:tc>
        <w:tc>
          <w:tcPr>
            <w:tcW w:w="1984" w:type="dxa"/>
            <w:tcMar>
              <w:top w:w="90" w:type="dxa"/>
              <w:left w:w="100" w:type="dxa"/>
              <w:bottom w:w="90" w:type="dxa"/>
              <w:right w:w="100" w:type="dxa"/>
            </w:tcMar>
            <w:vAlign w:val="center"/>
          </w:tcPr>
          <w:p w14:paraId="5A0E1990">
            <w:pPr>
              <w:spacing w:after="0" w:line="276" w:lineRule="auto"/>
              <w:jc w:val="left"/>
            </w:pPr>
            <w:r>
              <w:rPr>
                <w:rFonts w:ascii="Times New Roman" w:hAnsi="Times New Roman" w:eastAsia="Noto Serif CJK SC"/>
                <w:sz w:val="17"/>
              </w:rPr>
              <w:t>记录run_id、数据/标签/模型版本及Gate结论</w:t>
            </w:r>
          </w:p>
        </w:tc>
      </w:tr>
      <w:tr w14:paraId="459E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657A4556">
            <w:pPr>
              <w:spacing w:after="0" w:line="276" w:lineRule="auto"/>
              <w:jc w:val="center"/>
            </w:pPr>
            <w:r>
              <w:rPr>
                <w:rFonts w:ascii="Times New Roman" w:hAnsi="Times New Roman" w:eastAsia="Noto Serif CJK SC"/>
                <w:sz w:val="17"/>
              </w:rPr>
              <w:t>A4 Exp2A-v2 Verifier</w:t>
            </w:r>
          </w:p>
        </w:tc>
        <w:tc>
          <w:tcPr>
            <w:tcW w:w="5443" w:type="dxa"/>
            <w:tcMar>
              <w:top w:w="90" w:type="dxa"/>
              <w:left w:w="100" w:type="dxa"/>
              <w:bottom w:w="90" w:type="dxa"/>
              <w:right w:w="100" w:type="dxa"/>
            </w:tcMar>
            <w:vAlign w:val="center"/>
          </w:tcPr>
          <w:p w14:paraId="54CE6D2C">
            <w:pPr>
              <w:spacing w:after="0" w:line="276" w:lineRule="auto"/>
              <w:jc w:val="left"/>
            </w:pPr>
            <w:r>
              <w:rPr>
                <w:rFonts w:ascii="Times New Roman" w:hAnsi="Times New Roman" w:eastAsia="Noto Serif CJK SC"/>
                <w:sz w:val="17"/>
              </w:rPr>
              <w:t>以“默认保留DINO、强证据否决”为原则跑宽松/基准/严格三档；只在Development/Validation选择。</w:t>
            </w:r>
          </w:p>
        </w:tc>
        <w:tc>
          <w:tcPr>
            <w:tcW w:w="1984" w:type="dxa"/>
            <w:tcMar>
              <w:top w:w="90" w:type="dxa"/>
              <w:left w:w="100" w:type="dxa"/>
              <w:bottom w:w="90" w:type="dxa"/>
              <w:right w:w="100" w:type="dxa"/>
            </w:tcMar>
            <w:vAlign w:val="center"/>
          </w:tcPr>
          <w:p w14:paraId="28D12AAC">
            <w:pPr>
              <w:spacing w:after="0" w:line="276" w:lineRule="auto"/>
              <w:jc w:val="left"/>
            </w:pPr>
            <w:r>
              <w:rPr>
                <w:rFonts w:ascii="Times New Roman" w:hAnsi="Times New Roman" w:eastAsia="Noto Serif CJK SC"/>
                <w:sz w:val="17"/>
              </w:rPr>
              <w:t>记录run_id、数据/标签/模型版本及Gate结论</w:t>
            </w:r>
          </w:p>
        </w:tc>
      </w:tr>
      <w:tr w14:paraId="6F63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115E449B">
            <w:pPr>
              <w:spacing w:after="0" w:line="276" w:lineRule="auto"/>
              <w:jc w:val="center"/>
            </w:pPr>
            <w:r>
              <w:rPr>
                <w:rFonts w:ascii="Times New Roman" w:hAnsi="Times New Roman" w:eastAsia="Noto Serif CJK SC"/>
                <w:sz w:val="17"/>
              </w:rPr>
              <w:t>A5 Reject人工抽检</w:t>
            </w:r>
          </w:p>
        </w:tc>
        <w:tc>
          <w:tcPr>
            <w:tcW w:w="5443" w:type="dxa"/>
            <w:tcMar>
              <w:top w:w="90" w:type="dxa"/>
              <w:left w:w="100" w:type="dxa"/>
              <w:bottom w:w="90" w:type="dxa"/>
              <w:right w:w="100" w:type="dxa"/>
            </w:tcMar>
            <w:vAlign w:val="center"/>
          </w:tcPr>
          <w:p w14:paraId="250DAD98">
            <w:pPr>
              <w:spacing w:after="0" w:line="276" w:lineRule="auto"/>
              <w:jc w:val="left"/>
            </w:pPr>
            <w:r>
              <w:rPr>
                <w:rFonts w:ascii="Times New Roman" w:hAnsi="Times New Roman" w:eastAsia="Noto Serif CJK SC"/>
                <w:sz w:val="17"/>
              </w:rPr>
              <w:t>随机抽被删除框，统计真FP比例；如果大量真火被删，收紧否决权而不是继续全量训练。</w:t>
            </w:r>
          </w:p>
        </w:tc>
        <w:tc>
          <w:tcPr>
            <w:tcW w:w="1984" w:type="dxa"/>
            <w:tcMar>
              <w:top w:w="90" w:type="dxa"/>
              <w:left w:w="100" w:type="dxa"/>
              <w:bottom w:w="90" w:type="dxa"/>
              <w:right w:w="100" w:type="dxa"/>
            </w:tcMar>
            <w:vAlign w:val="center"/>
          </w:tcPr>
          <w:p w14:paraId="1AFB6A7F">
            <w:pPr>
              <w:spacing w:after="0" w:line="276" w:lineRule="auto"/>
              <w:jc w:val="left"/>
            </w:pPr>
            <w:r>
              <w:rPr>
                <w:rFonts w:ascii="Times New Roman" w:hAnsi="Times New Roman" w:eastAsia="Noto Serif CJK SC"/>
                <w:sz w:val="17"/>
              </w:rPr>
              <w:t>记录run_id、数据/标签/模型版本及Gate结论</w:t>
            </w:r>
          </w:p>
        </w:tc>
      </w:tr>
      <w:tr w14:paraId="6F9C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7F5F56BA">
            <w:pPr>
              <w:spacing w:after="0" w:line="276" w:lineRule="auto"/>
              <w:jc w:val="center"/>
            </w:pPr>
            <w:r>
              <w:rPr>
                <w:rFonts w:ascii="Times New Roman" w:hAnsi="Times New Roman" w:eastAsia="Noto Serif CJK SC"/>
                <w:sz w:val="17"/>
              </w:rPr>
              <w:t>A6 Append安全门</w:t>
            </w:r>
          </w:p>
        </w:tc>
        <w:tc>
          <w:tcPr>
            <w:tcW w:w="5443" w:type="dxa"/>
            <w:tcMar>
              <w:top w:w="90" w:type="dxa"/>
              <w:left w:w="100" w:type="dxa"/>
              <w:bottom w:w="90" w:type="dxa"/>
              <w:right w:w="100" w:type="dxa"/>
            </w:tcMar>
            <w:vAlign w:val="center"/>
          </w:tcPr>
          <w:p w14:paraId="70E97B1D">
            <w:pPr>
              <w:spacing w:after="0" w:line="276" w:lineRule="auto"/>
              <w:jc w:val="left"/>
            </w:pPr>
            <w:r>
              <w:rPr>
                <w:rFonts w:ascii="Times New Roman" w:hAnsi="Times New Roman" w:eastAsia="Noto Serif CJK SC"/>
                <w:sz w:val="17"/>
              </w:rPr>
              <w:t>SAM3新增目标先存candidate，不直接进final_labels；随机抽检至少300个；候选Precision未达预设高门槛则停止。</w:t>
            </w:r>
          </w:p>
        </w:tc>
        <w:tc>
          <w:tcPr>
            <w:tcW w:w="1984" w:type="dxa"/>
            <w:tcMar>
              <w:top w:w="90" w:type="dxa"/>
              <w:left w:w="100" w:type="dxa"/>
              <w:bottom w:w="90" w:type="dxa"/>
              <w:right w:w="100" w:type="dxa"/>
            </w:tcMar>
            <w:vAlign w:val="center"/>
          </w:tcPr>
          <w:p w14:paraId="498FC0A1">
            <w:pPr>
              <w:spacing w:after="0" w:line="276" w:lineRule="auto"/>
              <w:jc w:val="left"/>
            </w:pPr>
            <w:r>
              <w:rPr>
                <w:rFonts w:ascii="Times New Roman" w:hAnsi="Times New Roman" w:eastAsia="Noto Serif CJK SC"/>
                <w:sz w:val="17"/>
              </w:rPr>
              <w:t>记录run_id、数据/标签/模型版本及Gate结论</w:t>
            </w:r>
          </w:p>
        </w:tc>
      </w:tr>
      <w:tr w14:paraId="55B7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7632A6B6">
            <w:pPr>
              <w:spacing w:after="0" w:line="276" w:lineRule="auto"/>
              <w:jc w:val="center"/>
            </w:pPr>
            <w:r>
              <w:rPr>
                <w:rFonts w:ascii="Times New Roman" w:hAnsi="Times New Roman" w:eastAsia="Noto Serif CJK SC"/>
                <w:sz w:val="17"/>
              </w:rPr>
              <w:t>A7 Box Refinement停止门</w:t>
            </w:r>
          </w:p>
        </w:tc>
        <w:tc>
          <w:tcPr>
            <w:tcW w:w="5443" w:type="dxa"/>
            <w:tcMar>
              <w:top w:w="90" w:type="dxa"/>
              <w:left w:w="100" w:type="dxa"/>
              <w:bottom w:w="90" w:type="dxa"/>
              <w:right w:w="100" w:type="dxa"/>
            </w:tcMar>
            <w:vAlign w:val="center"/>
          </w:tcPr>
          <w:p w14:paraId="0D2F31E7">
            <w:pPr>
              <w:spacing w:after="0" w:line="276" w:lineRule="auto"/>
              <w:jc w:val="left"/>
            </w:pPr>
            <w:r>
              <w:rPr>
                <w:rFonts w:ascii="Times New Roman" w:hAnsi="Times New Roman" w:eastAsia="Noto Serif CJK SC"/>
                <w:sz w:val="17"/>
              </w:rPr>
              <w:t>当前结果已显著退化；除非新的框规范在小样本同时改善标签定位与YOLO效用，否则不再全量。</w:t>
            </w:r>
          </w:p>
        </w:tc>
        <w:tc>
          <w:tcPr>
            <w:tcW w:w="1984" w:type="dxa"/>
            <w:tcMar>
              <w:top w:w="90" w:type="dxa"/>
              <w:left w:w="100" w:type="dxa"/>
              <w:bottom w:w="90" w:type="dxa"/>
              <w:right w:w="100" w:type="dxa"/>
            </w:tcMar>
            <w:vAlign w:val="center"/>
          </w:tcPr>
          <w:p w14:paraId="3F6DFADD">
            <w:pPr>
              <w:spacing w:after="0" w:line="276" w:lineRule="auto"/>
              <w:jc w:val="left"/>
            </w:pPr>
            <w:r>
              <w:rPr>
                <w:rFonts w:ascii="Times New Roman" w:hAnsi="Times New Roman" w:eastAsia="Noto Serif CJK SC"/>
                <w:sz w:val="17"/>
              </w:rPr>
              <w:t>记录run_id、数据/标签/模型版本及Gate结论</w:t>
            </w:r>
          </w:p>
        </w:tc>
      </w:tr>
      <w:tr w14:paraId="4586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534A3A33">
            <w:pPr>
              <w:spacing w:after="0" w:line="276" w:lineRule="auto"/>
              <w:jc w:val="center"/>
            </w:pPr>
            <w:r>
              <w:rPr>
                <w:rFonts w:ascii="Times New Roman" w:hAnsi="Times New Roman" w:eastAsia="Noto Serif CJK SC"/>
                <w:sz w:val="17"/>
              </w:rPr>
              <w:t>A8 候选全量V2</w:t>
            </w:r>
          </w:p>
        </w:tc>
        <w:tc>
          <w:tcPr>
            <w:tcW w:w="5443" w:type="dxa"/>
            <w:tcMar>
              <w:top w:w="90" w:type="dxa"/>
              <w:left w:w="100" w:type="dxa"/>
              <w:bottom w:w="90" w:type="dxa"/>
              <w:right w:w="100" w:type="dxa"/>
            </w:tcMar>
            <w:vAlign w:val="center"/>
          </w:tcPr>
          <w:p w14:paraId="48D4232B">
            <w:pPr>
              <w:spacing w:after="0" w:line="276" w:lineRule="auto"/>
              <w:jc w:val="left"/>
            </w:pPr>
            <w:r>
              <w:rPr>
                <w:rFonts w:ascii="Times New Roman" w:hAnsi="Times New Roman" w:eastAsia="Noto Serif CJK SC"/>
                <w:sz w:val="17"/>
              </w:rPr>
              <w:t>只有通过G2的最优候选才在2804张上生成；其他候选停止，避免算力浪费。</w:t>
            </w:r>
          </w:p>
        </w:tc>
        <w:tc>
          <w:tcPr>
            <w:tcW w:w="1984" w:type="dxa"/>
            <w:tcMar>
              <w:top w:w="90" w:type="dxa"/>
              <w:left w:w="100" w:type="dxa"/>
              <w:bottom w:w="90" w:type="dxa"/>
              <w:right w:w="100" w:type="dxa"/>
            </w:tcMar>
            <w:vAlign w:val="center"/>
          </w:tcPr>
          <w:p w14:paraId="3F9B8ED0">
            <w:pPr>
              <w:spacing w:after="0" w:line="276" w:lineRule="auto"/>
              <w:jc w:val="left"/>
            </w:pPr>
            <w:r>
              <w:rPr>
                <w:rFonts w:ascii="Times New Roman" w:hAnsi="Times New Roman" w:eastAsia="Noto Serif CJK SC"/>
                <w:sz w:val="17"/>
              </w:rPr>
              <w:t>记录run_id、数据/标签/模型版本及Gate结论</w:t>
            </w:r>
          </w:p>
        </w:tc>
      </w:tr>
      <w:tr w14:paraId="3332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3CDD20AC">
            <w:pPr>
              <w:spacing w:after="0" w:line="276" w:lineRule="auto"/>
              <w:jc w:val="center"/>
            </w:pPr>
            <w:r>
              <w:rPr>
                <w:rFonts w:ascii="Times New Roman" w:hAnsi="Times New Roman" w:eastAsia="Noto Serif CJK SC"/>
                <w:sz w:val="17"/>
              </w:rPr>
              <w:t>A9 多seed与一次性测试</w:t>
            </w:r>
          </w:p>
        </w:tc>
        <w:tc>
          <w:tcPr>
            <w:tcW w:w="5443" w:type="dxa"/>
            <w:tcMar>
              <w:top w:w="90" w:type="dxa"/>
              <w:left w:w="100" w:type="dxa"/>
              <w:bottom w:w="90" w:type="dxa"/>
              <w:right w:w="100" w:type="dxa"/>
            </w:tcMar>
            <w:vAlign w:val="center"/>
          </w:tcPr>
          <w:p w14:paraId="2AD4F700">
            <w:pPr>
              <w:spacing w:after="0" w:line="276" w:lineRule="auto"/>
              <w:jc w:val="left"/>
            </w:pPr>
            <w:r>
              <w:rPr>
                <w:rFonts w:ascii="Times New Roman" w:hAnsi="Times New Roman" w:eastAsia="Noto Serif CJK SC"/>
                <w:sz w:val="17"/>
              </w:rPr>
              <w:t>E0/E1/最终V2至少3 seeds；Final Holdout只在方案冻结后一次性评估；按fire/smoke、尺度、来源分层。</w:t>
            </w:r>
          </w:p>
        </w:tc>
        <w:tc>
          <w:tcPr>
            <w:tcW w:w="1984" w:type="dxa"/>
            <w:tcMar>
              <w:top w:w="90" w:type="dxa"/>
              <w:left w:w="100" w:type="dxa"/>
              <w:bottom w:w="90" w:type="dxa"/>
              <w:right w:w="100" w:type="dxa"/>
            </w:tcMar>
            <w:vAlign w:val="center"/>
          </w:tcPr>
          <w:p w14:paraId="6B99B500">
            <w:pPr>
              <w:spacing w:after="0" w:line="276" w:lineRule="auto"/>
              <w:jc w:val="left"/>
            </w:pPr>
            <w:r>
              <w:rPr>
                <w:rFonts w:ascii="Times New Roman" w:hAnsi="Times New Roman" w:eastAsia="Noto Serif CJK SC"/>
                <w:sz w:val="17"/>
              </w:rPr>
              <w:t>记录run_id、数据/标签/模型版本及Gate结论</w:t>
            </w:r>
          </w:p>
        </w:tc>
      </w:tr>
      <w:tr w14:paraId="57526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787A60FA">
            <w:pPr>
              <w:spacing w:after="0" w:line="276" w:lineRule="auto"/>
              <w:jc w:val="center"/>
            </w:pPr>
            <w:r>
              <w:rPr>
                <w:rFonts w:ascii="Times New Roman" w:hAnsi="Times New Roman" w:eastAsia="Noto Serif CJK SC"/>
                <w:sz w:val="17"/>
              </w:rPr>
              <w:t>A10 成本/Pareto</w:t>
            </w:r>
          </w:p>
        </w:tc>
        <w:tc>
          <w:tcPr>
            <w:tcW w:w="5443" w:type="dxa"/>
            <w:tcMar>
              <w:top w:w="90" w:type="dxa"/>
              <w:left w:w="100" w:type="dxa"/>
              <w:bottom w:w="90" w:type="dxa"/>
              <w:right w:w="100" w:type="dxa"/>
            </w:tcMar>
            <w:vAlign w:val="center"/>
          </w:tcPr>
          <w:p w14:paraId="271A4201">
            <w:pPr>
              <w:spacing w:after="0" w:line="276" w:lineRule="auto"/>
              <w:jc w:val="left"/>
            </w:pPr>
            <w:r>
              <w:rPr>
                <w:rFonts w:ascii="Times New Roman" w:hAnsi="Times New Roman" w:eastAsia="Noto Serif CJK SC"/>
                <w:sz w:val="17"/>
              </w:rPr>
              <w:t>汇总DINO/SAM/YOLO GPU小时、人工小时、返工、重训、周期；画成本—mAP、成本—Recall Pareto；输出三情景推荐。</w:t>
            </w:r>
          </w:p>
        </w:tc>
        <w:tc>
          <w:tcPr>
            <w:tcW w:w="1984" w:type="dxa"/>
            <w:tcMar>
              <w:top w:w="90" w:type="dxa"/>
              <w:left w:w="100" w:type="dxa"/>
              <w:bottom w:w="90" w:type="dxa"/>
              <w:right w:w="100" w:type="dxa"/>
            </w:tcMar>
            <w:vAlign w:val="center"/>
          </w:tcPr>
          <w:p w14:paraId="6DF16B71">
            <w:pPr>
              <w:spacing w:after="0" w:line="276" w:lineRule="auto"/>
              <w:jc w:val="left"/>
            </w:pPr>
            <w:r>
              <w:rPr>
                <w:rFonts w:ascii="Times New Roman" w:hAnsi="Times New Roman" w:eastAsia="Noto Serif CJK SC"/>
                <w:sz w:val="17"/>
              </w:rPr>
              <w:t>记录run_id、数据/标签/模型版本及Gate结论</w:t>
            </w:r>
          </w:p>
        </w:tc>
      </w:tr>
      <w:tr w14:paraId="6852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90" w:type="dxa"/>
              <w:left w:w="100" w:type="dxa"/>
              <w:bottom w:w="90" w:type="dxa"/>
              <w:right w:w="100" w:type="dxa"/>
            </w:tcMar>
            <w:vAlign w:val="center"/>
          </w:tcPr>
          <w:p w14:paraId="70995AFA">
            <w:pPr>
              <w:spacing w:after="0" w:line="276" w:lineRule="auto"/>
              <w:jc w:val="center"/>
            </w:pPr>
            <w:r>
              <w:rPr>
                <w:rFonts w:ascii="Times New Roman" w:hAnsi="Times New Roman" w:eastAsia="Noto Serif CJK SC"/>
                <w:sz w:val="17"/>
              </w:rPr>
              <w:t>A11 论文写作</w:t>
            </w:r>
          </w:p>
        </w:tc>
        <w:tc>
          <w:tcPr>
            <w:tcW w:w="5443" w:type="dxa"/>
            <w:tcMar>
              <w:top w:w="90" w:type="dxa"/>
              <w:left w:w="100" w:type="dxa"/>
              <w:bottom w:w="90" w:type="dxa"/>
              <w:right w:w="100" w:type="dxa"/>
            </w:tcMar>
            <w:vAlign w:val="center"/>
          </w:tcPr>
          <w:p w14:paraId="482A6C66">
            <w:pPr>
              <w:spacing w:after="0" w:line="276" w:lineRule="auto"/>
              <w:jc w:val="left"/>
            </w:pPr>
            <w:r>
              <w:rPr>
                <w:rFonts w:ascii="Times New Roman" w:hAnsi="Times New Roman" w:eastAsia="Noto Serif CJK SC"/>
                <w:sz w:val="17"/>
              </w:rPr>
              <w:t>技术章只回答标签机制与效用；管理章必须回答质量成本、阶段门、资源配置、停止规则和可追溯治理。</w:t>
            </w:r>
          </w:p>
        </w:tc>
        <w:tc>
          <w:tcPr>
            <w:tcW w:w="1984" w:type="dxa"/>
            <w:tcMar>
              <w:top w:w="90" w:type="dxa"/>
              <w:left w:w="100" w:type="dxa"/>
              <w:bottom w:w="90" w:type="dxa"/>
              <w:right w:w="100" w:type="dxa"/>
            </w:tcMar>
            <w:vAlign w:val="center"/>
          </w:tcPr>
          <w:p w14:paraId="2EB06427">
            <w:pPr>
              <w:spacing w:after="0" w:line="276" w:lineRule="auto"/>
              <w:jc w:val="left"/>
            </w:pPr>
            <w:r>
              <w:rPr>
                <w:rFonts w:ascii="Times New Roman" w:hAnsi="Times New Roman" w:eastAsia="Noto Serif CJK SC"/>
                <w:sz w:val="17"/>
              </w:rPr>
              <w:t>记录run_id、数据/标签/模型版本及Gate结论</w:t>
            </w:r>
          </w:p>
        </w:tc>
      </w:tr>
    </w:tbl>
    <w:p w14:paraId="1E19A89E">
      <w:pPr>
        <w:widowControl/>
        <w:spacing w:after="20"/>
      </w:pPr>
    </w:p>
    <w:p w14:paraId="76A2A605">
      <w:pPr>
        <w:pStyle w:val="3"/>
        <w:keepNext/>
        <w:widowControl/>
        <w:spacing w:before="200" w:after="100" w:line="276" w:lineRule="auto"/>
      </w:pPr>
      <w:r>
        <w:rPr>
          <w:rFonts w:ascii="Times New Roman" w:hAnsi="Times New Roman" w:eastAsia="Noto Sans CJK SC"/>
          <w:b/>
          <w:sz w:val="32"/>
        </w:rPr>
        <w:t>附录B  最小可追溯字段与实验记录模板</w:t>
      </w:r>
    </w:p>
    <w:p w14:paraId="57CAF2C3">
      <w:pPr>
        <w:widowControl/>
        <w:spacing w:before="80" w:after="80"/>
        <w:jc w:val="center"/>
      </w:pPr>
      <w:r>
        <w:rPr>
          <w:rFonts w:ascii="Times New Roman" w:hAnsi="Times New Roman" w:eastAsia="Noto Sans CJK SC"/>
          <w:b/>
          <w:sz w:val="18"/>
        </w:rPr>
        <w:t>表B-1  建议日志字段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2323"/>
        <w:gridCol w:w="2323"/>
        <w:gridCol w:w="2323"/>
      </w:tblGrid>
      <w:tr w14:paraId="16F9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154" w:type="dxa"/>
            <w:shd w:val="clear" w:color="auto" w:fill="D9EAF7"/>
            <w:tcMar>
              <w:top w:w="110" w:type="dxa"/>
              <w:left w:w="100" w:type="dxa"/>
              <w:bottom w:w="110" w:type="dxa"/>
              <w:right w:w="100" w:type="dxa"/>
            </w:tcMar>
            <w:vAlign w:val="center"/>
          </w:tcPr>
          <w:p w14:paraId="0950F8D2">
            <w:pPr>
              <w:spacing w:after="0" w:line="240" w:lineRule="auto"/>
              <w:jc w:val="center"/>
            </w:pPr>
            <w:r>
              <w:rPr>
                <w:rFonts w:ascii="Times New Roman" w:hAnsi="Times New Roman" w:eastAsia="Noto Sans CJK SC"/>
                <w:b/>
                <w:sz w:val="16"/>
              </w:rPr>
              <w:t>字段1</w:t>
            </w:r>
          </w:p>
        </w:tc>
        <w:tc>
          <w:tcPr>
            <w:tcW w:w="2154" w:type="dxa"/>
            <w:shd w:val="clear" w:color="auto" w:fill="D9EAF7"/>
            <w:tcMar>
              <w:top w:w="110" w:type="dxa"/>
              <w:left w:w="100" w:type="dxa"/>
              <w:bottom w:w="110" w:type="dxa"/>
              <w:right w:w="100" w:type="dxa"/>
            </w:tcMar>
            <w:vAlign w:val="center"/>
          </w:tcPr>
          <w:p w14:paraId="38E0ADCD">
            <w:pPr>
              <w:spacing w:after="0" w:line="240" w:lineRule="auto"/>
              <w:jc w:val="center"/>
            </w:pPr>
            <w:r>
              <w:rPr>
                <w:rFonts w:ascii="Times New Roman" w:hAnsi="Times New Roman" w:eastAsia="Noto Sans CJK SC"/>
                <w:b/>
                <w:sz w:val="16"/>
              </w:rPr>
              <w:t>字段2</w:t>
            </w:r>
          </w:p>
        </w:tc>
        <w:tc>
          <w:tcPr>
            <w:tcW w:w="2154" w:type="dxa"/>
            <w:shd w:val="clear" w:color="auto" w:fill="D9EAF7"/>
            <w:tcMar>
              <w:top w:w="110" w:type="dxa"/>
              <w:left w:w="100" w:type="dxa"/>
              <w:bottom w:w="110" w:type="dxa"/>
              <w:right w:w="100" w:type="dxa"/>
            </w:tcMar>
            <w:vAlign w:val="center"/>
          </w:tcPr>
          <w:p w14:paraId="67ACE1FE">
            <w:pPr>
              <w:spacing w:after="0" w:line="240" w:lineRule="auto"/>
              <w:jc w:val="center"/>
            </w:pPr>
            <w:r>
              <w:rPr>
                <w:rFonts w:ascii="Times New Roman" w:hAnsi="Times New Roman" w:eastAsia="Noto Sans CJK SC"/>
                <w:b/>
                <w:sz w:val="16"/>
              </w:rPr>
              <w:t>字段3</w:t>
            </w:r>
          </w:p>
        </w:tc>
        <w:tc>
          <w:tcPr>
            <w:tcW w:w="2154" w:type="dxa"/>
            <w:shd w:val="clear" w:color="auto" w:fill="D9EAF7"/>
            <w:tcMar>
              <w:top w:w="110" w:type="dxa"/>
              <w:left w:w="100" w:type="dxa"/>
              <w:bottom w:w="110" w:type="dxa"/>
              <w:right w:w="100" w:type="dxa"/>
            </w:tcMar>
            <w:vAlign w:val="center"/>
          </w:tcPr>
          <w:p w14:paraId="316640CC">
            <w:pPr>
              <w:spacing w:after="0" w:line="240" w:lineRule="auto"/>
              <w:jc w:val="center"/>
            </w:pPr>
            <w:r>
              <w:rPr>
                <w:rFonts w:ascii="Times New Roman" w:hAnsi="Times New Roman" w:eastAsia="Noto Sans CJK SC"/>
                <w:b/>
                <w:sz w:val="16"/>
              </w:rPr>
              <w:t>字段4</w:t>
            </w:r>
          </w:p>
        </w:tc>
      </w:tr>
      <w:tr w14:paraId="2B17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138D42BF">
            <w:pPr>
              <w:spacing w:after="0" w:line="276" w:lineRule="auto"/>
              <w:jc w:val="left"/>
            </w:pPr>
            <w:r>
              <w:rPr>
                <w:rFonts w:ascii="Times New Roman" w:hAnsi="Times New Roman" w:eastAsia="Noto Serif CJK SC"/>
                <w:sz w:val="16"/>
              </w:rPr>
              <w:t>image_id</w:t>
            </w:r>
          </w:p>
        </w:tc>
        <w:tc>
          <w:tcPr>
            <w:tcW w:w="2154" w:type="dxa"/>
            <w:tcMar>
              <w:top w:w="90" w:type="dxa"/>
              <w:left w:w="100" w:type="dxa"/>
              <w:bottom w:w="90" w:type="dxa"/>
              <w:right w:w="100" w:type="dxa"/>
            </w:tcMar>
            <w:vAlign w:val="center"/>
          </w:tcPr>
          <w:p w14:paraId="7566C578">
            <w:pPr>
              <w:spacing w:after="0" w:line="276" w:lineRule="auto"/>
              <w:jc w:val="left"/>
            </w:pPr>
            <w:r>
              <w:rPr>
                <w:rFonts w:ascii="Times New Roman" w:hAnsi="Times New Roman" w:eastAsia="Noto Serif CJK SC"/>
                <w:sz w:val="16"/>
              </w:rPr>
              <w:t>source_type</w:t>
            </w:r>
          </w:p>
        </w:tc>
        <w:tc>
          <w:tcPr>
            <w:tcW w:w="2154" w:type="dxa"/>
            <w:tcMar>
              <w:top w:w="90" w:type="dxa"/>
              <w:left w:w="100" w:type="dxa"/>
              <w:bottom w:w="90" w:type="dxa"/>
              <w:right w:w="100" w:type="dxa"/>
            </w:tcMar>
            <w:vAlign w:val="center"/>
          </w:tcPr>
          <w:p w14:paraId="4F6B71C4">
            <w:pPr>
              <w:spacing w:after="0" w:line="276" w:lineRule="auto"/>
              <w:jc w:val="left"/>
            </w:pPr>
            <w:r>
              <w:rPr>
                <w:rFonts w:ascii="Times New Roman" w:hAnsi="Times New Roman" w:eastAsia="Noto Serif CJK SC"/>
                <w:sz w:val="16"/>
              </w:rPr>
              <w:t>source_group_id</w:t>
            </w:r>
          </w:p>
        </w:tc>
        <w:tc>
          <w:tcPr>
            <w:tcW w:w="2154" w:type="dxa"/>
            <w:tcMar>
              <w:top w:w="90" w:type="dxa"/>
              <w:left w:w="100" w:type="dxa"/>
              <w:bottom w:w="90" w:type="dxa"/>
              <w:right w:w="100" w:type="dxa"/>
            </w:tcMar>
            <w:vAlign w:val="center"/>
          </w:tcPr>
          <w:p w14:paraId="54B526B5">
            <w:pPr>
              <w:spacing w:after="0" w:line="276" w:lineRule="auto"/>
              <w:jc w:val="left"/>
            </w:pPr>
            <w:r>
              <w:rPr>
                <w:rFonts w:ascii="Times New Roman" w:hAnsi="Times New Roman" w:eastAsia="Noto Serif CJK SC"/>
                <w:sz w:val="16"/>
              </w:rPr>
              <w:t>data_version</w:t>
            </w:r>
          </w:p>
        </w:tc>
      </w:tr>
      <w:tr w14:paraId="1714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090A7A41">
            <w:pPr>
              <w:spacing w:after="0" w:line="276" w:lineRule="auto"/>
              <w:jc w:val="left"/>
            </w:pPr>
            <w:r>
              <w:rPr>
                <w:rFonts w:ascii="Times New Roman" w:hAnsi="Times New Roman" w:eastAsia="Noto Serif CJK SC"/>
                <w:sz w:val="16"/>
              </w:rPr>
              <w:t>split_version</w:t>
            </w:r>
          </w:p>
        </w:tc>
        <w:tc>
          <w:tcPr>
            <w:tcW w:w="2154" w:type="dxa"/>
            <w:tcMar>
              <w:top w:w="90" w:type="dxa"/>
              <w:left w:w="100" w:type="dxa"/>
              <w:bottom w:w="90" w:type="dxa"/>
              <w:right w:w="100" w:type="dxa"/>
            </w:tcMar>
            <w:vAlign w:val="center"/>
          </w:tcPr>
          <w:p w14:paraId="0C0FFF20">
            <w:pPr>
              <w:spacing w:after="0" w:line="276" w:lineRule="auto"/>
              <w:jc w:val="left"/>
            </w:pPr>
            <w:r>
              <w:rPr>
                <w:rFonts w:ascii="Times New Roman" w:hAnsi="Times New Roman" w:eastAsia="Noto Serif CJK SC"/>
                <w:sz w:val="16"/>
              </w:rPr>
              <w:t>source_model</w:t>
            </w:r>
          </w:p>
        </w:tc>
        <w:tc>
          <w:tcPr>
            <w:tcW w:w="2154" w:type="dxa"/>
            <w:tcMar>
              <w:top w:w="90" w:type="dxa"/>
              <w:left w:w="100" w:type="dxa"/>
              <w:bottom w:w="90" w:type="dxa"/>
              <w:right w:w="100" w:type="dxa"/>
            </w:tcMar>
            <w:vAlign w:val="center"/>
          </w:tcPr>
          <w:p w14:paraId="2E327A50">
            <w:pPr>
              <w:spacing w:after="0" w:line="276" w:lineRule="auto"/>
              <w:jc w:val="left"/>
            </w:pPr>
            <w:r>
              <w:rPr>
                <w:rFonts w:ascii="Times New Roman" w:hAnsi="Times New Roman" w:eastAsia="Noto Serif CJK SC"/>
                <w:sz w:val="16"/>
              </w:rPr>
              <w:t>model_checkpoint</w:t>
            </w:r>
          </w:p>
        </w:tc>
        <w:tc>
          <w:tcPr>
            <w:tcW w:w="2154" w:type="dxa"/>
            <w:tcMar>
              <w:top w:w="90" w:type="dxa"/>
              <w:left w:w="100" w:type="dxa"/>
              <w:bottom w:w="90" w:type="dxa"/>
              <w:right w:w="100" w:type="dxa"/>
            </w:tcMar>
            <w:vAlign w:val="center"/>
          </w:tcPr>
          <w:p w14:paraId="39EA8F61">
            <w:pPr>
              <w:spacing w:after="0" w:line="276" w:lineRule="auto"/>
              <w:jc w:val="left"/>
            </w:pPr>
            <w:r>
              <w:rPr>
                <w:rFonts w:ascii="Times New Roman" w:hAnsi="Times New Roman" w:eastAsia="Noto Serif CJK SC"/>
                <w:sz w:val="16"/>
              </w:rPr>
              <w:t>prompt_id</w:t>
            </w:r>
          </w:p>
        </w:tc>
      </w:tr>
      <w:tr w14:paraId="5D67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36431DF8">
            <w:pPr>
              <w:spacing w:after="0" w:line="276" w:lineRule="auto"/>
              <w:jc w:val="left"/>
            </w:pPr>
            <w:r>
              <w:rPr>
                <w:rFonts w:ascii="Times New Roman" w:hAnsi="Times New Roman" w:eastAsia="Noto Serif CJK SC"/>
                <w:sz w:val="16"/>
              </w:rPr>
              <w:t>prompt_text</w:t>
            </w:r>
          </w:p>
        </w:tc>
        <w:tc>
          <w:tcPr>
            <w:tcW w:w="2154" w:type="dxa"/>
            <w:tcMar>
              <w:top w:w="90" w:type="dxa"/>
              <w:left w:w="100" w:type="dxa"/>
              <w:bottom w:w="90" w:type="dxa"/>
              <w:right w:w="100" w:type="dxa"/>
            </w:tcMar>
            <w:vAlign w:val="center"/>
          </w:tcPr>
          <w:p w14:paraId="057EB32F">
            <w:pPr>
              <w:spacing w:after="0" w:line="276" w:lineRule="auto"/>
              <w:jc w:val="left"/>
            </w:pPr>
            <w:r>
              <w:rPr>
                <w:rFonts w:ascii="Times New Roman" w:hAnsi="Times New Roman" w:eastAsia="Noto Serif CJK SC"/>
                <w:sz w:val="16"/>
              </w:rPr>
              <w:t>score_threshold</w:t>
            </w:r>
          </w:p>
        </w:tc>
        <w:tc>
          <w:tcPr>
            <w:tcW w:w="2154" w:type="dxa"/>
            <w:tcMar>
              <w:top w:w="90" w:type="dxa"/>
              <w:left w:w="100" w:type="dxa"/>
              <w:bottom w:w="90" w:type="dxa"/>
              <w:right w:w="100" w:type="dxa"/>
            </w:tcMar>
            <w:vAlign w:val="center"/>
          </w:tcPr>
          <w:p w14:paraId="0611427C">
            <w:pPr>
              <w:spacing w:after="0" w:line="276" w:lineRule="auto"/>
              <w:jc w:val="left"/>
            </w:pPr>
            <w:r>
              <w:rPr>
                <w:rFonts w:ascii="Times New Roman" w:hAnsi="Times New Roman" w:eastAsia="Noto Serif CJK SC"/>
                <w:sz w:val="16"/>
              </w:rPr>
              <w:t>raw_score</w:t>
            </w:r>
          </w:p>
        </w:tc>
        <w:tc>
          <w:tcPr>
            <w:tcW w:w="2154" w:type="dxa"/>
            <w:tcMar>
              <w:top w:w="90" w:type="dxa"/>
              <w:left w:w="100" w:type="dxa"/>
              <w:bottom w:w="90" w:type="dxa"/>
              <w:right w:w="100" w:type="dxa"/>
            </w:tcMar>
            <w:vAlign w:val="center"/>
          </w:tcPr>
          <w:p w14:paraId="3A3C0561">
            <w:pPr>
              <w:spacing w:after="0" w:line="276" w:lineRule="auto"/>
              <w:jc w:val="left"/>
            </w:pPr>
            <w:r>
              <w:rPr>
                <w:rFonts w:ascii="Times New Roman" w:hAnsi="Times New Roman" w:eastAsia="Noto Serif CJK SC"/>
                <w:sz w:val="16"/>
              </w:rPr>
              <w:t>diagnosis_type</w:t>
            </w:r>
          </w:p>
        </w:tc>
      </w:tr>
      <w:tr w14:paraId="0E14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74CE318B">
            <w:pPr>
              <w:spacing w:after="0" w:line="276" w:lineRule="auto"/>
              <w:jc w:val="left"/>
            </w:pPr>
            <w:r>
              <w:rPr>
                <w:rFonts w:ascii="Times New Roman" w:hAnsi="Times New Roman" w:eastAsia="Noto Serif CJK SC"/>
                <w:sz w:val="16"/>
              </w:rPr>
              <w:t>sam_called</w:t>
            </w:r>
          </w:p>
        </w:tc>
        <w:tc>
          <w:tcPr>
            <w:tcW w:w="2154" w:type="dxa"/>
            <w:tcMar>
              <w:top w:w="90" w:type="dxa"/>
              <w:left w:w="100" w:type="dxa"/>
              <w:bottom w:w="90" w:type="dxa"/>
              <w:right w:w="100" w:type="dxa"/>
            </w:tcMar>
            <w:vAlign w:val="center"/>
          </w:tcPr>
          <w:p w14:paraId="6BA3FE78">
            <w:pPr>
              <w:spacing w:after="0" w:line="276" w:lineRule="auto"/>
              <w:jc w:val="left"/>
            </w:pPr>
            <w:r>
              <w:rPr>
                <w:rFonts w:ascii="Times New Roman" w:hAnsi="Times New Roman" w:eastAsia="Noto Serif CJK SC"/>
                <w:sz w:val="16"/>
              </w:rPr>
              <w:t>sam_mode</w:t>
            </w:r>
          </w:p>
        </w:tc>
        <w:tc>
          <w:tcPr>
            <w:tcW w:w="2154" w:type="dxa"/>
            <w:tcMar>
              <w:top w:w="90" w:type="dxa"/>
              <w:left w:w="100" w:type="dxa"/>
              <w:bottom w:w="90" w:type="dxa"/>
              <w:right w:w="100" w:type="dxa"/>
            </w:tcMar>
            <w:vAlign w:val="center"/>
          </w:tcPr>
          <w:p w14:paraId="1528074C">
            <w:pPr>
              <w:spacing w:after="0" w:line="276" w:lineRule="auto"/>
              <w:jc w:val="left"/>
            </w:pPr>
            <w:r>
              <w:rPr>
                <w:rFonts w:ascii="Times New Roman" w:hAnsi="Times New Roman" w:eastAsia="Noto Serif CJK SC"/>
                <w:sz w:val="16"/>
              </w:rPr>
              <w:t>sam_conf</w:t>
            </w:r>
          </w:p>
        </w:tc>
        <w:tc>
          <w:tcPr>
            <w:tcW w:w="2154" w:type="dxa"/>
            <w:tcMar>
              <w:top w:w="90" w:type="dxa"/>
              <w:left w:w="100" w:type="dxa"/>
              <w:bottom w:w="90" w:type="dxa"/>
              <w:right w:w="100" w:type="dxa"/>
            </w:tcMar>
            <w:vAlign w:val="center"/>
          </w:tcPr>
          <w:p w14:paraId="60B9695D">
            <w:pPr>
              <w:spacing w:after="0" w:line="276" w:lineRule="auto"/>
              <w:jc w:val="left"/>
            </w:pPr>
            <w:r>
              <w:rPr>
                <w:rFonts w:ascii="Times New Roman" w:hAnsi="Times New Roman" w:eastAsia="Noto Serif CJK SC"/>
                <w:sz w:val="16"/>
              </w:rPr>
              <w:t>verification_state</w:t>
            </w:r>
          </w:p>
        </w:tc>
      </w:tr>
      <w:tr w14:paraId="05BF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652693B4">
            <w:pPr>
              <w:spacing w:after="0" w:line="276" w:lineRule="auto"/>
              <w:jc w:val="left"/>
            </w:pPr>
            <w:r>
              <w:rPr>
                <w:rFonts w:ascii="Times New Roman" w:hAnsi="Times New Roman" w:eastAsia="Noto Serif CJK SC"/>
                <w:sz w:val="16"/>
              </w:rPr>
              <w:t>rejection_reason</w:t>
            </w:r>
          </w:p>
        </w:tc>
        <w:tc>
          <w:tcPr>
            <w:tcW w:w="2154" w:type="dxa"/>
            <w:tcMar>
              <w:top w:w="90" w:type="dxa"/>
              <w:left w:w="100" w:type="dxa"/>
              <w:bottom w:w="90" w:type="dxa"/>
              <w:right w:w="100" w:type="dxa"/>
            </w:tcMar>
            <w:vAlign w:val="center"/>
          </w:tcPr>
          <w:p w14:paraId="5C7B44B6">
            <w:pPr>
              <w:spacing w:after="0" w:line="276" w:lineRule="auto"/>
              <w:jc w:val="left"/>
            </w:pPr>
            <w:r>
              <w:rPr>
                <w:rFonts w:ascii="Times New Roman" w:hAnsi="Times New Roman" w:eastAsia="Noto Serif CJK SC"/>
                <w:sz w:val="16"/>
              </w:rPr>
              <w:t>append_flag</w:t>
            </w:r>
          </w:p>
        </w:tc>
        <w:tc>
          <w:tcPr>
            <w:tcW w:w="2154" w:type="dxa"/>
            <w:tcMar>
              <w:top w:w="90" w:type="dxa"/>
              <w:left w:w="100" w:type="dxa"/>
              <w:bottom w:w="90" w:type="dxa"/>
              <w:right w:w="100" w:type="dxa"/>
            </w:tcMar>
            <w:vAlign w:val="center"/>
          </w:tcPr>
          <w:p w14:paraId="65F3CD49">
            <w:pPr>
              <w:spacing w:after="0" w:line="276" w:lineRule="auto"/>
              <w:jc w:val="left"/>
            </w:pPr>
            <w:r>
              <w:rPr>
                <w:rFonts w:ascii="Times New Roman" w:hAnsi="Times New Roman" w:eastAsia="Noto Serif CJK SC"/>
                <w:sz w:val="16"/>
              </w:rPr>
              <w:t>box_source</w:t>
            </w:r>
          </w:p>
        </w:tc>
        <w:tc>
          <w:tcPr>
            <w:tcW w:w="2154" w:type="dxa"/>
            <w:tcMar>
              <w:top w:w="90" w:type="dxa"/>
              <w:left w:w="100" w:type="dxa"/>
              <w:bottom w:w="90" w:type="dxa"/>
              <w:right w:w="100" w:type="dxa"/>
            </w:tcMar>
            <w:vAlign w:val="center"/>
          </w:tcPr>
          <w:p w14:paraId="6D14467E">
            <w:pPr>
              <w:spacing w:after="0" w:line="276" w:lineRule="auto"/>
              <w:jc w:val="left"/>
            </w:pPr>
            <w:r>
              <w:rPr>
                <w:rFonts w:ascii="Times New Roman" w:hAnsi="Times New Roman" w:eastAsia="Noto Serif CJK SC"/>
                <w:sz w:val="16"/>
              </w:rPr>
              <w:t>fusion_rule</w:t>
            </w:r>
          </w:p>
        </w:tc>
      </w:tr>
      <w:tr w14:paraId="083B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182EAFDA">
            <w:pPr>
              <w:spacing w:after="0" w:line="276" w:lineRule="auto"/>
              <w:jc w:val="left"/>
            </w:pPr>
            <w:r>
              <w:rPr>
                <w:rFonts w:ascii="Times New Roman" w:hAnsi="Times New Roman" w:eastAsia="Noto Serif CJK SC"/>
                <w:sz w:val="16"/>
              </w:rPr>
              <w:t>label_version</w:t>
            </w:r>
          </w:p>
        </w:tc>
        <w:tc>
          <w:tcPr>
            <w:tcW w:w="2154" w:type="dxa"/>
            <w:tcMar>
              <w:top w:w="90" w:type="dxa"/>
              <w:left w:w="100" w:type="dxa"/>
              <w:bottom w:w="90" w:type="dxa"/>
              <w:right w:w="100" w:type="dxa"/>
            </w:tcMar>
            <w:vAlign w:val="center"/>
          </w:tcPr>
          <w:p w14:paraId="7B01B42A">
            <w:pPr>
              <w:spacing w:after="0" w:line="276" w:lineRule="auto"/>
              <w:jc w:val="left"/>
            </w:pPr>
            <w:r>
              <w:rPr>
                <w:rFonts w:ascii="Times New Roman" w:hAnsi="Times New Roman" w:eastAsia="Noto Serif CJK SC"/>
                <w:sz w:val="16"/>
              </w:rPr>
              <w:t>pipeline_version</w:t>
            </w:r>
          </w:p>
        </w:tc>
        <w:tc>
          <w:tcPr>
            <w:tcW w:w="2154" w:type="dxa"/>
            <w:tcMar>
              <w:top w:w="90" w:type="dxa"/>
              <w:left w:w="100" w:type="dxa"/>
              <w:bottom w:w="90" w:type="dxa"/>
              <w:right w:w="100" w:type="dxa"/>
            </w:tcMar>
            <w:vAlign w:val="center"/>
          </w:tcPr>
          <w:p w14:paraId="28AAC531">
            <w:pPr>
              <w:spacing w:after="0" w:line="276" w:lineRule="auto"/>
              <w:jc w:val="left"/>
            </w:pPr>
            <w:r>
              <w:rPr>
                <w:rFonts w:ascii="Times New Roman" w:hAnsi="Times New Roman" w:eastAsia="Noto Serif CJK SC"/>
                <w:sz w:val="16"/>
              </w:rPr>
              <w:t>train_run_id</w:t>
            </w:r>
          </w:p>
        </w:tc>
        <w:tc>
          <w:tcPr>
            <w:tcW w:w="2154" w:type="dxa"/>
            <w:tcMar>
              <w:top w:w="90" w:type="dxa"/>
              <w:left w:w="100" w:type="dxa"/>
              <w:bottom w:w="90" w:type="dxa"/>
              <w:right w:w="100" w:type="dxa"/>
            </w:tcMar>
            <w:vAlign w:val="center"/>
          </w:tcPr>
          <w:p w14:paraId="3B772CB8">
            <w:pPr>
              <w:spacing w:after="0" w:line="276" w:lineRule="auto"/>
              <w:jc w:val="left"/>
            </w:pPr>
            <w:r>
              <w:rPr>
                <w:rFonts w:ascii="Times New Roman" w:hAnsi="Times New Roman" w:eastAsia="Noto Serif CJK SC"/>
                <w:sz w:val="16"/>
              </w:rPr>
              <w:t>random_seed</w:t>
            </w:r>
          </w:p>
        </w:tc>
      </w:tr>
      <w:tr w14:paraId="3041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3F5FC0A0">
            <w:pPr>
              <w:spacing w:after="0" w:line="276" w:lineRule="auto"/>
              <w:jc w:val="left"/>
            </w:pPr>
            <w:r>
              <w:rPr>
                <w:rFonts w:ascii="Times New Roman" w:hAnsi="Times New Roman" w:eastAsia="Noto Serif CJK SC"/>
                <w:sz w:val="16"/>
              </w:rPr>
              <w:t>train_gpu_hours</w:t>
            </w:r>
          </w:p>
        </w:tc>
        <w:tc>
          <w:tcPr>
            <w:tcW w:w="2154" w:type="dxa"/>
            <w:tcMar>
              <w:top w:w="90" w:type="dxa"/>
              <w:left w:w="100" w:type="dxa"/>
              <w:bottom w:w="90" w:type="dxa"/>
              <w:right w:w="100" w:type="dxa"/>
            </w:tcMar>
            <w:vAlign w:val="center"/>
          </w:tcPr>
          <w:p w14:paraId="667442E5">
            <w:pPr>
              <w:spacing w:after="0" w:line="276" w:lineRule="auto"/>
              <w:jc w:val="left"/>
            </w:pPr>
            <w:r>
              <w:rPr>
                <w:rFonts w:ascii="Times New Roman" w:hAnsi="Times New Roman" w:eastAsia="Noto Serif CJK SC"/>
                <w:sz w:val="16"/>
              </w:rPr>
              <w:t>label_gpu_hours</w:t>
            </w:r>
          </w:p>
        </w:tc>
        <w:tc>
          <w:tcPr>
            <w:tcW w:w="2154" w:type="dxa"/>
            <w:tcMar>
              <w:top w:w="90" w:type="dxa"/>
              <w:left w:w="100" w:type="dxa"/>
              <w:bottom w:w="90" w:type="dxa"/>
              <w:right w:w="100" w:type="dxa"/>
            </w:tcMar>
            <w:vAlign w:val="center"/>
          </w:tcPr>
          <w:p w14:paraId="4CD6ACD4">
            <w:pPr>
              <w:spacing w:after="0" w:line="276" w:lineRule="auto"/>
              <w:jc w:val="left"/>
            </w:pPr>
            <w:r>
              <w:rPr>
                <w:rFonts w:ascii="Times New Roman" w:hAnsi="Times New Roman" w:eastAsia="Noto Serif CJK SC"/>
                <w:sz w:val="16"/>
              </w:rPr>
              <w:t>human_minutes</w:t>
            </w:r>
          </w:p>
        </w:tc>
        <w:tc>
          <w:tcPr>
            <w:tcW w:w="2154" w:type="dxa"/>
            <w:tcMar>
              <w:top w:w="90" w:type="dxa"/>
              <w:left w:w="100" w:type="dxa"/>
              <w:bottom w:w="90" w:type="dxa"/>
              <w:right w:w="100" w:type="dxa"/>
            </w:tcMar>
            <w:vAlign w:val="center"/>
          </w:tcPr>
          <w:p w14:paraId="4F976EB2">
            <w:pPr>
              <w:spacing w:after="0" w:line="276" w:lineRule="auto"/>
              <w:jc w:val="left"/>
            </w:pPr>
            <w:r>
              <w:rPr>
                <w:rFonts w:ascii="Times New Roman" w:hAnsi="Times New Roman" w:eastAsia="Noto Serif CJK SC"/>
                <w:sz w:val="16"/>
              </w:rPr>
              <w:t>test_report_id</w:t>
            </w:r>
          </w:p>
        </w:tc>
      </w:tr>
      <w:tr w14:paraId="0BF0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90" w:type="dxa"/>
              <w:left w:w="100" w:type="dxa"/>
              <w:bottom w:w="90" w:type="dxa"/>
              <w:right w:w="100" w:type="dxa"/>
            </w:tcMar>
            <w:vAlign w:val="center"/>
          </w:tcPr>
          <w:p w14:paraId="493C2ABC">
            <w:pPr>
              <w:spacing w:after="0" w:line="276" w:lineRule="auto"/>
              <w:jc w:val="left"/>
            </w:pPr>
            <w:r>
              <w:rPr>
                <w:rFonts w:ascii="Times New Roman" w:hAnsi="Times New Roman" w:eastAsia="Noto Serif CJK SC"/>
                <w:sz w:val="16"/>
              </w:rPr>
              <w:t>git_or_script_version</w:t>
            </w:r>
          </w:p>
        </w:tc>
        <w:tc>
          <w:tcPr>
            <w:tcW w:w="2154" w:type="dxa"/>
            <w:tcMar>
              <w:top w:w="90" w:type="dxa"/>
              <w:left w:w="100" w:type="dxa"/>
              <w:bottom w:w="90" w:type="dxa"/>
              <w:right w:w="100" w:type="dxa"/>
            </w:tcMar>
            <w:vAlign w:val="center"/>
          </w:tcPr>
          <w:p w14:paraId="1226C3A8">
            <w:pPr>
              <w:spacing w:after="0" w:line="276" w:lineRule="auto"/>
              <w:jc w:val="left"/>
            </w:pPr>
            <w:r>
              <w:rPr>
                <w:rFonts w:ascii="Times New Roman" w:hAnsi="Times New Roman" w:eastAsia="Noto Serif CJK SC"/>
                <w:sz w:val="16"/>
              </w:rPr>
              <w:t>created_at</w:t>
            </w:r>
          </w:p>
        </w:tc>
        <w:tc>
          <w:tcPr>
            <w:tcW w:w="2154" w:type="dxa"/>
            <w:tcMar>
              <w:top w:w="90" w:type="dxa"/>
              <w:left w:w="100" w:type="dxa"/>
              <w:bottom w:w="90" w:type="dxa"/>
              <w:right w:w="100" w:type="dxa"/>
            </w:tcMar>
            <w:vAlign w:val="center"/>
          </w:tcPr>
          <w:p w14:paraId="23901869">
            <w:pPr>
              <w:spacing w:after="0" w:line="276" w:lineRule="auto"/>
              <w:jc w:val="left"/>
            </w:pPr>
          </w:p>
        </w:tc>
        <w:tc>
          <w:tcPr>
            <w:tcW w:w="2154" w:type="dxa"/>
            <w:tcMar>
              <w:top w:w="90" w:type="dxa"/>
              <w:left w:w="100" w:type="dxa"/>
              <w:bottom w:w="90" w:type="dxa"/>
              <w:right w:w="100" w:type="dxa"/>
            </w:tcMar>
            <w:vAlign w:val="center"/>
          </w:tcPr>
          <w:p w14:paraId="7BB3AC7D">
            <w:pPr>
              <w:spacing w:after="0" w:line="276" w:lineRule="auto"/>
              <w:jc w:val="left"/>
            </w:pPr>
          </w:p>
        </w:tc>
      </w:tr>
    </w:tbl>
    <w:p w14:paraId="24A9977F">
      <w:pPr>
        <w:widowControl/>
        <w:spacing w:after="20"/>
      </w:pPr>
    </w:p>
    <w:p w14:paraId="2E4E74AE">
      <w:pPr>
        <w:widowControl/>
        <w:spacing w:before="80" w:after="80"/>
        <w:jc w:val="center"/>
      </w:pPr>
      <w:r>
        <w:rPr>
          <w:rFonts w:ascii="Times New Roman" w:hAnsi="Times New Roman" w:eastAsia="Noto Sans CJK SC"/>
          <w:b/>
          <w:sz w:val="18"/>
        </w:rPr>
        <w:t>表B-2  单次实验决策记录卡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45F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9EAF7"/>
            <w:tcMar>
              <w:top w:w="110" w:type="dxa"/>
              <w:left w:w="100" w:type="dxa"/>
              <w:bottom w:w="110" w:type="dxa"/>
              <w:right w:w="100" w:type="dxa"/>
            </w:tcMar>
            <w:vAlign w:val="center"/>
          </w:tcPr>
          <w:p w14:paraId="28B586EA">
            <w:pPr>
              <w:spacing w:after="0" w:line="240" w:lineRule="auto"/>
              <w:jc w:val="center"/>
            </w:pPr>
            <w:r>
              <w:rPr>
                <w:rFonts w:ascii="Times New Roman" w:hAnsi="Times New Roman" w:eastAsia="Noto Sans CJK SC"/>
                <w:b/>
                <w:sz w:val="18"/>
              </w:rPr>
              <w:t>项目</w:t>
            </w:r>
          </w:p>
        </w:tc>
        <w:tc>
          <w:tcPr>
            <w:tcW w:w="5783" w:type="dxa"/>
            <w:shd w:val="clear" w:color="auto" w:fill="D9EAF7"/>
            <w:tcMar>
              <w:top w:w="110" w:type="dxa"/>
              <w:left w:w="100" w:type="dxa"/>
              <w:bottom w:w="110" w:type="dxa"/>
              <w:right w:w="100" w:type="dxa"/>
            </w:tcMar>
            <w:vAlign w:val="center"/>
          </w:tcPr>
          <w:p w14:paraId="35DEF644">
            <w:pPr>
              <w:spacing w:after="0" w:line="240" w:lineRule="auto"/>
              <w:jc w:val="center"/>
            </w:pPr>
            <w:r>
              <w:rPr>
                <w:rFonts w:ascii="Times New Roman" w:hAnsi="Times New Roman" w:eastAsia="Noto Sans CJK SC"/>
                <w:b/>
                <w:sz w:val="18"/>
              </w:rPr>
              <w:t>记录</w:t>
            </w:r>
          </w:p>
        </w:tc>
      </w:tr>
      <w:tr w14:paraId="22E5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3CC3B8D8">
            <w:pPr>
              <w:spacing w:after="0" w:line="276" w:lineRule="auto"/>
              <w:jc w:val="left"/>
            </w:pPr>
            <w:r>
              <w:rPr>
                <w:rFonts w:ascii="Times New Roman" w:hAnsi="Times New Roman" w:eastAsia="Noto Serif CJK SC"/>
                <w:sz w:val="18"/>
              </w:rPr>
              <w:t>实验编号</w:t>
            </w:r>
          </w:p>
        </w:tc>
        <w:tc>
          <w:tcPr>
            <w:tcW w:w="5783" w:type="dxa"/>
            <w:tcMar>
              <w:top w:w="90" w:type="dxa"/>
              <w:left w:w="100" w:type="dxa"/>
              <w:bottom w:w="90" w:type="dxa"/>
              <w:right w:w="100" w:type="dxa"/>
            </w:tcMar>
            <w:vAlign w:val="center"/>
          </w:tcPr>
          <w:p w14:paraId="6F758A5D">
            <w:pPr>
              <w:spacing w:after="0" w:line="276" w:lineRule="auto"/>
              <w:jc w:val="left"/>
            </w:pPr>
            <w:r>
              <w:rPr>
                <w:rFonts w:ascii="Times New Roman" w:hAnsi="Times New Roman" w:eastAsia="Noto Serif CJK SC"/>
                <w:sz w:val="18"/>
              </w:rPr>
              <w:t>E__</w:t>
            </w:r>
          </w:p>
        </w:tc>
      </w:tr>
      <w:tr w14:paraId="28F9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2E85568E">
            <w:pPr>
              <w:spacing w:after="0" w:line="276" w:lineRule="auto"/>
              <w:jc w:val="left"/>
            </w:pPr>
            <w:r>
              <w:rPr>
                <w:rFonts w:ascii="Times New Roman" w:hAnsi="Times New Roman" w:eastAsia="Noto Serif CJK SC"/>
                <w:sz w:val="18"/>
              </w:rPr>
              <w:t>数据版本</w:t>
            </w:r>
          </w:p>
        </w:tc>
        <w:tc>
          <w:tcPr>
            <w:tcW w:w="5783" w:type="dxa"/>
            <w:tcMar>
              <w:top w:w="90" w:type="dxa"/>
              <w:left w:w="100" w:type="dxa"/>
              <w:bottom w:w="90" w:type="dxa"/>
              <w:right w:w="100" w:type="dxa"/>
            </w:tcMar>
            <w:vAlign w:val="center"/>
          </w:tcPr>
          <w:p w14:paraId="1AE9DA0A">
            <w:pPr>
              <w:spacing w:after="0" w:line="276" w:lineRule="auto"/>
              <w:jc w:val="left"/>
            </w:pPr>
          </w:p>
        </w:tc>
      </w:tr>
      <w:tr w14:paraId="4E5A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5742BB3D">
            <w:pPr>
              <w:spacing w:after="0" w:line="276" w:lineRule="auto"/>
              <w:jc w:val="left"/>
            </w:pPr>
            <w:r>
              <w:rPr>
                <w:rFonts w:ascii="Times New Roman" w:hAnsi="Times New Roman" w:eastAsia="Noto Serif CJK SC"/>
                <w:sz w:val="18"/>
              </w:rPr>
              <w:t>标签版本</w:t>
            </w:r>
          </w:p>
        </w:tc>
        <w:tc>
          <w:tcPr>
            <w:tcW w:w="5783" w:type="dxa"/>
            <w:tcMar>
              <w:top w:w="90" w:type="dxa"/>
              <w:left w:w="100" w:type="dxa"/>
              <w:bottom w:w="90" w:type="dxa"/>
              <w:right w:w="100" w:type="dxa"/>
            </w:tcMar>
            <w:vAlign w:val="center"/>
          </w:tcPr>
          <w:p w14:paraId="06E41B3D">
            <w:pPr>
              <w:spacing w:after="0" w:line="276" w:lineRule="auto"/>
              <w:jc w:val="left"/>
            </w:pPr>
          </w:p>
        </w:tc>
      </w:tr>
      <w:tr w14:paraId="0499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11A8B968">
            <w:pPr>
              <w:spacing w:after="0" w:line="276" w:lineRule="auto"/>
              <w:jc w:val="left"/>
            </w:pPr>
            <w:r>
              <w:rPr>
                <w:rFonts w:ascii="Times New Roman" w:hAnsi="Times New Roman" w:eastAsia="Noto Serif CJK SC"/>
                <w:sz w:val="18"/>
              </w:rPr>
              <w:t>Prompt/阈值</w:t>
            </w:r>
          </w:p>
        </w:tc>
        <w:tc>
          <w:tcPr>
            <w:tcW w:w="5783" w:type="dxa"/>
            <w:tcMar>
              <w:top w:w="90" w:type="dxa"/>
              <w:left w:w="100" w:type="dxa"/>
              <w:bottom w:w="90" w:type="dxa"/>
              <w:right w:w="100" w:type="dxa"/>
            </w:tcMar>
            <w:vAlign w:val="center"/>
          </w:tcPr>
          <w:p w14:paraId="34C28915">
            <w:pPr>
              <w:spacing w:after="0" w:line="276" w:lineRule="auto"/>
              <w:jc w:val="left"/>
            </w:pPr>
          </w:p>
        </w:tc>
      </w:tr>
      <w:tr w14:paraId="2A3E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73203FD7">
            <w:pPr>
              <w:spacing w:after="0" w:line="276" w:lineRule="auto"/>
              <w:jc w:val="left"/>
            </w:pPr>
            <w:r>
              <w:rPr>
                <w:rFonts w:ascii="Times New Roman" w:hAnsi="Times New Roman" w:eastAsia="Noto Serif CJK SC"/>
                <w:sz w:val="18"/>
              </w:rPr>
              <w:t>第二教师模式</w:t>
            </w:r>
          </w:p>
        </w:tc>
        <w:tc>
          <w:tcPr>
            <w:tcW w:w="5783" w:type="dxa"/>
            <w:tcMar>
              <w:top w:w="90" w:type="dxa"/>
              <w:left w:w="100" w:type="dxa"/>
              <w:bottom w:w="90" w:type="dxa"/>
              <w:right w:w="100" w:type="dxa"/>
            </w:tcMar>
            <w:vAlign w:val="center"/>
          </w:tcPr>
          <w:p w14:paraId="1B95C542">
            <w:pPr>
              <w:spacing w:after="0" w:line="276" w:lineRule="auto"/>
              <w:jc w:val="left"/>
            </w:pPr>
            <w:r>
              <w:rPr>
                <w:rFonts w:ascii="Times New Roman" w:hAnsi="Times New Roman" w:eastAsia="Noto Serif CJK SC"/>
                <w:sz w:val="18"/>
              </w:rPr>
              <w:t>None / Verifier / Append / Refiner</w:t>
            </w:r>
          </w:p>
        </w:tc>
      </w:tr>
      <w:tr w14:paraId="0929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344755A6">
            <w:pPr>
              <w:spacing w:after="0" w:line="276" w:lineRule="auto"/>
              <w:jc w:val="left"/>
            </w:pPr>
            <w:r>
              <w:rPr>
                <w:rFonts w:ascii="Times New Roman" w:hAnsi="Times New Roman" w:eastAsia="Noto Serif CJK SC"/>
                <w:sz w:val="18"/>
              </w:rPr>
              <w:t>YOLO训练seed</w:t>
            </w:r>
          </w:p>
        </w:tc>
        <w:tc>
          <w:tcPr>
            <w:tcW w:w="5783" w:type="dxa"/>
            <w:tcMar>
              <w:top w:w="90" w:type="dxa"/>
              <w:left w:w="100" w:type="dxa"/>
              <w:bottom w:w="90" w:type="dxa"/>
              <w:right w:w="100" w:type="dxa"/>
            </w:tcMar>
            <w:vAlign w:val="center"/>
          </w:tcPr>
          <w:p w14:paraId="7D6F7BE2">
            <w:pPr>
              <w:spacing w:after="0" w:line="276" w:lineRule="auto"/>
              <w:jc w:val="left"/>
            </w:pPr>
          </w:p>
        </w:tc>
      </w:tr>
      <w:tr w14:paraId="74F2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4D37B799">
            <w:pPr>
              <w:spacing w:after="0" w:line="276" w:lineRule="auto"/>
              <w:jc w:val="left"/>
            </w:pPr>
            <w:r>
              <w:rPr>
                <w:rFonts w:ascii="Times New Roman" w:hAnsi="Times New Roman" w:eastAsia="Noto Serif CJK SC"/>
                <w:sz w:val="18"/>
              </w:rPr>
              <w:t>标签GPU小时</w:t>
            </w:r>
          </w:p>
        </w:tc>
        <w:tc>
          <w:tcPr>
            <w:tcW w:w="5783" w:type="dxa"/>
            <w:tcMar>
              <w:top w:w="90" w:type="dxa"/>
              <w:left w:w="100" w:type="dxa"/>
              <w:bottom w:w="90" w:type="dxa"/>
              <w:right w:w="100" w:type="dxa"/>
            </w:tcMar>
            <w:vAlign w:val="center"/>
          </w:tcPr>
          <w:p w14:paraId="19C40F6D">
            <w:pPr>
              <w:spacing w:after="0" w:line="276" w:lineRule="auto"/>
              <w:jc w:val="left"/>
            </w:pPr>
          </w:p>
        </w:tc>
      </w:tr>
      <w:tr w14:paraId="7F99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695987B1">
            <w:pPr>
              <w:spacing w:after="0" w:line="276" w:lineRule="auto"/>
              <w:jc w:val="left"/>
            </w:pPr>
            <w:r>
              <w:rPr>
                <w:rFonts w:ascii="Times New Roman" w:hAnsi="Times New Roman" w:eastAsia="Noto Serif CJK SC"/>
                <w:sz w:val="18"/>
              </w:rPr>
              <w:t>训练GPU小时</w:t>
            </w:r>
          </w:p>
        </w:tc>
        <w:tc>
          <w:tcPr>
            <w:tcW w:w="5783" w:type="dxa"/>
            <w:tcMar>
              <w:top w:w="90" w:type="dxa"/>
              <w:left w:w="100" w:type="dxa"/>
              <w:bottom w:w="90" w:type="dxa"/>
              <w:right w:w="100" w:type="dxa"/>
            </w:tcMar>
            <w:vAlign w:val="center"/>
          </w:tcPr>
          <w:p w14:paraId="2F6C3DC0">
            <w:pPr>
              <w:spacing w:after="0" w:line="276" w:lineRule="auto"/>
              <w:jc w:val="left"/>
            </w:pPr>
          </w:p>
        </w:tc>
      </w:tr>
      <w:tr w14:paraId="51E6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7A49A7EF">
            <w:pPr>
              <w:spacing w:after="0" w:line="276" w:lineRule="auto"/>
              <w:jc w:val="left"/>
            </w:pPr>
            <w:r>
              <w:rPr>
                <w:rFonts w:ascii="Times New Roman" w:hAnsi="Times New Roman" w:eastAsia="Noto Serif CJK SC"/>
                <w:sz w:val="18"/>
              </w:rPr>
              <w:t>人工抽检分钟</w:t>
            </w:r>
          </w:p>
        </w:tc>
        <w:tc>
          <w:tcPr>
            <w:tcW w:w="5783" w:type="dxa"/>
            <w:tcMar>
              <w:top w:w="90" w:type="dxa"/>
              <w:left w:w="100" w:type="dxa"/>
              <w:bottom w:w="90" w:type="dxa"/>
              <w:right w:w="100" w:type="dxa"/>
            </w:tcMar>
            <w:vAlign w:val="center"/>
          </w:tcPr>
          <w:p w14:paraId="4604A0F8">
            <w:pPr>
              <w:spacing w:after="0" w:line="276" w:lineRule="auto"/>
              <w:jc w:val="left"/>
            </w:pPr>
          </w:p>
        </w:tc>
      </w:tr>
      <w:tr w14:paraId="2FA8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1E8B00FE">
            <w:pPr>
              <w:spacing w:after="0" w:line="276" w:lineRule="auto"/>
              <w:jc w:val="left"/>
            </w:pPr>
            <w:r>
              <w:rPr>
                <w:rFonts w:ascii="Times New Roman" w:hAnsi="Times New Roman" w:eastAsia="Noto Serif CJK SC"/>
                <w:sz w:val="18"/>
              </w:rPr>
              <w:t>P / R / mAP50 / mAP50:95</w:t>
            </w:r>
          </w:p>
        </w:tc>
        <w:tc>
          <w:tcPr>
            <w:tcW w:w="5783" w:type="dxa"/>
            <w:tcMar>
              <w:top w:w="90" w:type="dxa"/>
              <w:left w:w="100" w:type="dxa"/>
              <w:bottom w:w="90" w:type="dxa"/>
              <w:right w:w="100" w:type="dxa"/>
            </w:tcMar>
            <w:vAlign w:val="center"/>
          </w:tcPr>
          <w:p w14:paraId="1F8E9DCA">
            <w:pPr>
              <w:spacing w:after="0" w:line="276" w:lineRule="auto"/>
              <w:jc w:val="left"/>
            </w:pPr>
          </w:p>
        </w:tc>
      </w:tr>
      <w:tr w14:paraId="7E46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36962D6F">
            <w:pPr>
              <w:spacing w:after="0" w:line="276" w:lineRule="auto"/>
              <w:jc w:val="left"/>
            </w:pPr>
            <w:r>
              <w:rPr>
                <w:rFonts w:ascii="Times New Roman" w:hAnsi="Times New Roman" w:eastAsia="Noto Serif CJK SC"/>
                <w:sz w:val="18"/>
              </w:rPr>
              <w:t>相对E1差值</w:t>
            </w:r>
          </w:p>
        </w:tc>
        <w:tc>
          <w:tcPr>
            <w:tcW w:w="5783" w:type="dxa"/>
            <w:tcMar>
              <w:top w:w="90" w:type="dxa"/>
              <w:left w:w="100" w:type="dxa"/>
              <w:bottom w:w="90" w:type="dxa"/>
              <w:right w:w="100" w:type="dxa"/>
            </w:tcMar>
            <w:vAlign w:val="center"/>
          </w:tcPr>
          <w:p w14:paraId="519FB70E">
            <w:pPr>
              <w:spacing w:after="0" w:line="276" w:lineRule="auto"/>
              <w:jc w:val="left"/>
            </w:pPr>
          </w:p>
        </w:tc>
      </w:tr>
      <w:tr w14:paraId="7A57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68AF6040">
            <w:pPr>
              <w:spacing w:after="0" w:line="276" w:lineRule="auto"/>
              <w:jc w:val="left"/>
            </w:pPr>
            <w:r>
              <w:rPr>
                <w:rFonts w:ascii="Times New Roman" w:hAnsi="Times New Roman" w:eastAsia="Noto Serif CJK SC"/>
                <w:sz w:val="18"/>
              </w:rPr>
              <w:t>Gate决定</w:t>
            </w:r>
          </w:p>
        </w:tc>
        <w:tc>
          <w:tcPr>
            <w:tcW w:w="5783" w:type="dxa"/>
            <w:tcMar>
              <w:top w:w="90" w:type="dxa"/>
              <w:left w:w="100" w:type="dxa"/>
              <w:bottom w:w="90" w:type="dxa"/>
              <w:right w:w="100" w:type="dxa"/>
            </w:tcMar>
            <w:vAlign w:val="center"/>
          </w:tcPr>
          <w:p w14:paraId="48B3EE18">
            <w:pPr>
              <w:spacing w:after="0" w:line="276" w:lineRule="auto"/>
              <w:jc w:val="left"/>
            </w:pPr>
            <w:r>
              <w:rPr>
                <w:rFonts w:ascii="Times New Roman" w:hAnsi="Times New Roman" w:eastAsia="Noto Serif CJK SC"/>
                <w:sz w:val="18"/>
              </w:rPr>
              <w:t>Go / Hold / Recycle / Stop</w:t>
            </w:r>
          </w:p>
        </w:tc>
      </w:tr>
      <w:tr w14:paraId="0663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170E46DC">
            <w:pPr>
              <w:spacing w:after="0" w:line="276" w:lineRule="auto"/>
              <w:jc w:val="left"/>
            </w:pPr>
            <w:r>
              <w:rPr>
                <w:rFonts w:ascii="Times New Roman" w:hAnsi="Times New Roman" w:eastAsia="Noto Serif CJK SC"/>
                <w:sz w:val="18"/>
              </w:rPr>
              <w:t>决定理由</w:t>
            </w:r>
          </w:p>
        </w:tc>
        <w:tc>
          <w:tcPr>
            <w:tcW w:w="5783" w:type="dxa"/>
            <w:tcMar>
              <w:top w:w="90" w:type="dxa"/>
              <w:left w:w="100" w:type="dxa"/>
              <w:bottom w:w="90" w:type="dxa"/>
              <w:right w:w="100" w:type="dxa"/>
            </w:tcMar>
            <w:vAlign w:val="center"/>
          </w:tcPr>
          <w:p w14:paraId="5CAE0A56">
            <w:pPr>
              <w:spacing w:after="0" w:line="276" w:lineRule="auto"/>
              <w:jc w:val="left"/>
            </w:pPr>
          </w:p>
        </w:tc>
      </w:tr>
      <w:tr w14:paraId="6AC7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341090DC">
            <w:pPr>
              <w:spacing w:after="0" w:line="276" w:lineRule="auto"/>
              <w:jc w:val="left"/>
            </w:pPr>
            <w:r>
              <w:rPr>
                <w:rFonts w:ascii="Times New Roman" w:hAnsi="Times New Roman" w:eastAsia="Noto Serif CJK SC"/>
                <w:sz w:val="18"/>
              </w:rPr>
              <w:t>下一步</w:t>
            </w:r>
          </w:p>
        </w:tc>
        <w:tc>
          <w:tcPr>
            <w:tcW w:w="5783" w:type="dxa"/>
            <w:tcMar>
              <w:top w:w="90" w:type="dxa"/>
              <w:left w:w="100" w:type="dxa"/>
              <w:bottom w:w="90" w:type="dxa"/>
              <w:right w:w="100" w:type="dxa"/>
            </w:tcMar>
            <w:vAlign w:val="center"/>
          </w:tcPr>
          <w:p w14:paraId="207AD6ED">
            <w:pPr>
              <w:spacing w:after="0" w:line="276" w:lineRule="auto"/>
              <w:jc w:val="left"/>
            </w:pPr>
          </w:p>
        </w:tc>
      </w:tr>
    </w:tbl>
    <w:p w14:paraId="6CC511E2">
      <w:pPr>
        <w:widowControl/>
        <w:spacing w:after="20"/>
      </w:pPr>
    </w:p>
    <w:tbl>
      <w:tblPr>
        <w:tblStyle w:val="32"/>
        <w:tblW w:w="0" w:type="auto"/>
        <w:jc w:val="center"/>
        <w:tblLayout w:type="fixed"/>
        <w:tblCellMar>
          <w:top w:w="0" w:type="dxa"/>
          <w:left w:w="108" w:type="dxa"/>
          <w:bottom w:w="0" w:type="dxa"/>
          <w:right w:w="108" w:type="dxa"/>
        </w:tblCellMar>
      </w:tblPr>
      <w:tblGrid>
        <w:gridCol w:w="8957"/>
      </w:tblGrid>
      <w:tr w14:paraId="1A5053BC">
        <w:tblPrEx>
          <w:tblCellMar>
            <w:top w:w="0" w:type="dxa"/>
            <w:left w:w="108" w:type="dxa"/>
            <w:bottom w:w="0" w:type="dxa"/>
            <w:right w:w="108" w:type="dxa"/>
          </w:tblCellMar>
        </w:tblPrEx>
        <w:trPr>
          <w:jc w:val="center"/>
        </w:trPr>
        <w:tc>
          <w:tcPr>
            <w:tcW w:w="9292" w:type="dxa"/>
            <w:shd w:val="clear" w:color="auto" w:fill="E8F1F8"/>
            <w:tcMar>
              <w:top w:w="150" w:type="dxa"/>
              <w:left w:w="180" w:type="dxa"/>
              <w:bottom w:w="150" w:type="dxa"/>
              <w:right w:w="180" w:type="dxa"/>
            </w:tcMar>
          </w:tcPr>
          <w:p w14:paraId="39B9114E">
            <w:pPr>
              <w:spacing w:after="60"/>
            </w:pPr>
            <w:r>
              <w:rPr>
                <w:rFonts w:ascii="Times New Roman" w:hAnsi="Times New Roman" w:eastAsia="Noto Sans CJK SC"/>
                <w:b/>
                <w:sz w:val="20"/>
              </w:rPr>
              <w:t>正式论文的一句话主线</w:t>
            </w:r>
          </w:p>
          <w:p w14:paraId="2EF789B6">
            <w:pPr>
              <w:spacing w:after="0" w:line="324" w:lineRule="auto"/>
            </w:pPr>
            <w:r>
              <w:rPr>
                <w:rFonts w:ascii="Times New Roman" w:hAnsi="Times New Roman" w:eastAsia="Noto Serif CJK SC"/>
                <w:sz w:val="20"/>
              </w:rPr>
              <w:t>本研究不是为了证明“SAM3一定更好”，而是用双教师机制把第二基础模型变成可被评估、可被拒绝的质量资源，并通过下游效用、质量成本和阶段门决定何时升级、何时停止，从而形成AI训练数据生产的工程管理决策方法。</w:t>
            </w:r>
          </w:p>
        </w:tc>
      </w:tr>
    </w:tbl>
    <w:p w14:paraId="721F2C3D">
      <w:pPr>
        <w:widowControl/>
        <w:spacing w:after="20"/>
      </w:pPr>
    </w:p>
    <w:sectPr>
      <w:footerReference r:id="rId5" w:type="default"/>
      <w:pgSz w:w="12240" w:h="15840"/>
      <w:pgMar w:top="1474" w:right="1417" w:bottom="1361" w:left="1531" w:header="680"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73CAB">
    <w:pPr>
      <w:pStyle w:val="24"/>
      <w:jc w:val="center"/>
    </w:pPr>
    <w:r>
      <w:rPr>
        <w:rFonts w:ascii="Times New Roman" w:hAnsi="Times New Roman" w:eastAsia="Noto Serif CJK SC"/>
        <w:sz w:val="18"/>
      </w:rPr>
      <w:t xml:space="preserve">第 </w:t>
    </w:r>
    <w:r>
      <w:rPr>
        <w:rFonts w:ascii="Times New Roman" w:hAnsi="Times New Roman" w:eastAsia="Noto Serif CJK SC"/>
        <w:sz w:val="18"/>
      </w:rPr>
      <w:fldChar w:fldCharType="begin"/>
    </w:r>
    <w:r>
      <w:rPr>
        <w:rFonts w:ascii="Times New Roman" w:hAnsi="Times New Roman" w:eastAsia="Noto Serif CJK SC"/>
        <w:sz w:val="18"/>
      </w:rPr>
      <w:instrText xml:space="preserve"> PAGE </w:instrText>
    </w:r>
    <w:r>
      <w:rPr>
        <w:rFonts w:ascii="Times New Roman" w:hAnsi="Times New Roman" w:eastAsia="Noto Serif CJK SC"/>
        <w:sz w:val="18"/>
      </w:rPr>
      <w:fldChar w:fldCharType="end"/>
    </w:r>
    <w:r>
      <w:rPr>
        <w:rFonts w:ascii="Times New Roman" w:hAnsi="Times New Roman" w:eastAsia="Noto Serif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8C38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962</Words>
  <Characters>1336</Characters>
  <Lines>0</Lines>
  <Paragraphs>0</Paragraphs>
  <TotalTime>5</TotalTime>
  <ScaleCrop>false</ScaleCrop>
  <LinksUpToDate>false</LinksUpToDate>
  <CharactersWithSpaces>1345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柏林无少女</dc:creator>
  <dc:description>generated by python-docx</dc:description>
  <cp:keywords>双教师, Grounding DINO, SAM3, 训练数据生产, 质量成本, Stage-Gate, Pareto</cp:keywords>
  <cp:lastModifiedBy>柏林无少女</cp:lastModifiedBy>
  <dcterms:modified xsi:type="dcterms:W3CDTF">2026-08-17T15:36:38Z</dcterms:modified>
  <dc:subject>东北财经大学管理科学与工程学院MEM专业学位硕士开题报告</dc:subject>
  <dc:title>双教师机制下火烟训练数据生产质量控制与资源配置研究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15CA0D77002545F087EFED2562A4955B_12</vt:lpwstr>
  </property>
</Properties>
</file>