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4A962">
      <w:pPr>
        <w:spacing w:after="240"/>
        <w:jc w:val="center"/>
      </w:pPr>
      <w:r>
        <w:rPr>
          <w:rFonts w:ascii="黑体" w:hAnsi="黑体" w:eastAsia="黑体"/>
          <w:b/>
          <w:sz w:val="36"/>
        </w:rPr>
        <w:t>科技计划项目结题验收技术报告（建议稿）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745A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87039D2">
            <w:pPr>
              <w:spacing w:after="0" w:line="240" w:lineRule="auto"/>
              <w:jc w:val="center"/>
            </w:pPr>
            <w:r>
              <w:rPr>
                <w:rFonts w:ascii="宋体" w:hAnsi="宋体" w:eastAsia="宋体"/>
                <w:b/>
                <w:sz w:val="21"/>
              </w:rPr>
              <w:t>计划类别</w:t>
            </w:r>
          </w:p>
        </w:tc>
        <w:tc>
          <w:tcPr>
            <w:tcW w:w="4394" w:type="dxa"/>
            <w:vAlign w:val="center"/>
          </w:tcPr>
          <w:p w14:paraId="4FA85DAF">
            <w:pPr>
              <w:spacing w:after="0" w:line="240" w:lineRule="auto"/>
              <w:jc w:val="left"/>
            </w:pPr>
            <w:r>
              <w:rPr>
                <w:rFonts w:ascii="宋体" w:hAnsi="宋体" w:eastAsia="宋体"/>
                <w:b w:val="0"/>
                <w:sz w:val="21"/>
              </w:rPr>
              <w:t>辽宁省科学技术计划重点研发项目—产业技术创新类</w:t>
            </w:r>
          </w:p>
        </w:tc>
      </w:tr>
      <w:tr w14:paraId="0835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B7AF5AF">
            <w:pPr>
              <w:spacing w:after="0" w:line="240" w:lineRule="auto"/>
              <w:jc w:val="center"/>
            </w:pPr>
            <w:r>
              <w:rPr>
                <w:rFonts w:ascii="宋体" w:hAnsi="宋体" w:eastAsia="宋体"/>
                <w:b/>
                <w:sz w:val="21"/>
              </w:rPr>
              <w:t>项目名称</w:t>
            </w:r>
          </w:p>
        </w:tc>
        <w:tc>
          <w:tcPr>
            <w:tcW w:w="4394" w:type="dxa"/>
            <w:vAlign w:val="center"/>
          </w:tcPr>
          <w:p w14:paraId="70E0D780">
            <w:pPr>
              <w:spacing w:after="0" w:line="240" w:lineRule="auto"/>
              <w:jc w:val="left"/>
            </w:pPr>
            <w:r>
              <w:rPr>
                <w:rFonts w:ascii="宋体" w:hAnsi="宋体" w:eastAsia="宋体"/>
                <w:b w:val="0"/>
                <w:sz w:val="21"/>
              </w:rPr>
              <w:t>智能低空无人机集群地面协同侦测灭火系统研发</w:t>
            </w:r>
          </w:p>
        </w:tc>
      </w:tr>
      <w:tr w14:paraId="33B0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ADD2630">
            <w:pPr>
              <w:spacing w:after="0" w:line="240" w:lineRule="auto"/>
              <w:jc w:val="center"/>
            </w:pPr>
            <w:r>
              <w:rPr>
                <w:rFonts w:ascii="宋体" w:hAnsi="宋体" w:eastAsia="宋体"/>
                <w:b/>
                <w:sz w:val="21"/>
              </w:rPr>
              <w:t>项目编号</w:t>
            </w:r>
          </w:p>
        </w:tc>
        <w:tc>
          <w:tcPr>
            <w:tcW w:w="4394" w:type="dxa"/>
            <w:vAlign w:val="center"/>
          </w:tcPr>
          <w:p w14:paraId="670AC4F7">
            <w:pPr>
              <w:spacing w:after="0" w:line="240" w:lineRule="auto"/>
              <w:jc w:val="left"/>
            </w:pPr>
            <w:r>
              <w:rPr>
                <w:rFonts w:ascii="宋体" w:hAnsi="宋体" w:eastAsia="宋体"/>
                <w:b w:val="0"/>
                <w:sz w:val="21"/>
              </w:rPr>
              <w:t>2024JH2/102400020</w:t>
            </w:r>
          </w:p>
        </w:tc>
      </w:tr>
      <w:tr w14:paraId="4DB4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CB25161">
            <w:pPr>
              <w:spacing w:after="0" w:line="240" w:lineRule="auto"/>
              <w:jc w:val="center"/>
            </w:pPr>
            <w:r>
              <w:rPr>
                <w:rFonts w:ascii="宋体" w:hAnsi="宋体" w:eastAsia="宋体"/>
                <w:b/>
                <w:sz w:val="21"/>
              </w:rPr>
              <w:t>子课题名称</w:t>
            </w:r>
          </w:p>
        </w:tc>
        <w:tc>
          <w:tcPr>
            <w:tcW w:w="4394" w:type="dxa"/>
            <w:vAlign w:val="center"/>
          </w:tcPr>
          <w:p w14:paraId="25C3BE3B">
            <w:pPr>
              <w:spacing w:after="0" w:line="240" w:lineRule="auto"/>
              <w:jc w:val="left"/>
            </w:pPr>
            <w:r>
              <w:rPr>
                <w:rFonts w:ascii="宋体" w:hAnsi="宋体" w:eastAsia="宋体"/>
                <w:b w:val="0"/>
                <w:sz w:val="21"/>
              </w:rPr>
              <w:t>人工智能识别算法及辅助决策系统</w:t>
            </w:r>
          </w:p>
        </w:tc>
      </w:tr>
      <w:tr w14:paraId="42AD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F543A4B">
            <w:pPr>
              <w:spacing w:after="0" w:line="240" w:lineRule="auto"/>
              <w:jc w:val="center"/>
            </w:pPr>
            <w:r>
              <w:rPr>
                <w:rFonts w:ascii="宋体" w:hAnsi="宋体" w:eastAsia="宋体"/>
                <w:b/>
                <w:sz w:val="21"/>
              </w:rPr>
              <w:t>甲方</w:t>
            </w:r>
          </w:p>
        </w:tc>
        <w:tc>
          <w:tcPr>
            <w:tcW w:w="4394" w:type="dxa"/>
            <w:vAlign w:val="center"/>
          </w:tcPr>
          <w:p w14:paraId="31DAF05C">
            <w:pPr>
              <w:spacing w:after="0" w:line="240" w:lineRule="auto"/>
              <w:jc w:val="left"/>
            </w:pPr>
            <w:r>
              <w:rPr>
                <w:rFonts w:ascii="宋体" w:hAnsi="宋体" w:eastAsia="宋体"/>
                <w:b w:val="0"/>
                <w:sz w:val="21"/>
              </w:rPr>
              <w:t>华录科技文化（大连）有限公司</w:t>
            </w:r>
          </w:p>
        </w:tc>
      </w:tr>
      <w:tr w14:paraId="1560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0628385">
            <w:pPr>
              <w:spacing w:after="0" w:line="240" w:lineRule="auto"/>
              <w:jc w:val="center"/>
            </w:pPr>
            <w:r>
              <w:rPr>
                <w:rFonts w:ascii="宋体" w:hAnsi="宋体" w:eastAsia="宋体"/>
                <w:b/>
                <w:sz w:val="21"/>
              </w:rPr>
              <w:t>乙方</w:t>
            </w:r>
          </w:p>
        </w:tc>
        <w:tc>
          <w:tcPr>
            <w:tcW w:w="4394" w:type="dxa"/>
            <w:vAlign w:val="center"/>
          </w:tcPr>
          <w:p w14:paraId="02796D73">
            <w:pPr>
              <w:spacing w:after="0" w:line="240" w:lineRule="auto"/>
              <w:jc w:val="left"/>
            </w:pPr>
            <w:r>
              <w:rPr>
                <w:rFonts w:ascii="宋体" w:hAnsi="宋体" w:eastAsia="宋体"/>
                <w:b w:val="0"/>
                <w:sz w:val="21"/>
              </w:rPr>
              <w:t>东北财经大学</w:t>
            </w:r>
          </w:p>
        </w:tc>
      </w:tr>
      <w:tr w14:paraId="6DC7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38B75A3">
            <w:pPr>
              <w:spacing w:after="0" w:line="240" w:lineRule="auto"/>
              <w:jc w:val="center"/>
            </w:pPr>
            <w:r>
              <w:rPr>
                <w:rFonts w:ascii="宋体" w:hAnsi="宋体" w:eastAsia="宋体"/>
                <w:b/>
                <w:sz w:val="21"/>
              </w:rPr>
              <w:t>项目总体执行期</w:t>
            </w:r>
          </w:p>
        </w:tc>
        <w:tc>
          <w:tcPr>
            <w:tcW w:w="4394" w:type="dxa"/>
            <w:vAlign w:val="center"/>
          </w:tcPr>
          <w:p w14:paraId="09754257">
            <w:pPr>
              <w:spacing w:after="0" w:line="240" w:lineRule="auto"/>
              <w:jc w:val="left"/>
            </w:pPr>
            <w:r>
              <w:rPr>
                <w:rFonts w:ascii="宋体" w:hAnsi="宋体" w:eastAsia="宋体"/>
                <w:b w:val="0"/>
                <w:sz w:val="21"/>
              </w:rPr>
              <w:t>2024年7月1日至2026年12月31日</w:t>
            </w:r>
          </w:p>
        </w:tc>
      </w:tr>
      <w:tr w14:paraId="093D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DA28A94">
            <w:pPr>
              <w:spacing w:after="0" w:line="240" w:lineRule="auto"/>
              <w:jc w:val="center"/>
            </w:pPr>
            <w:r>
              <w:rPr>
                <w:rFonts w:ascii="宋体" w:hAnsi="宋体" w:eastAsia="宋体"/>
                <w:b/>
                <w:sz w:val="21"/>
              </w:rPr>
              <w:t>乙方执行期</w:t>
            </w:r>
          </w:p>
        </w:tc>
        <w:tc>
          <w:tcPr>
            <w:tcW w:w="4394" w:type="dxa"/>
            <w:vAlign w:val="center"/>
          </w:tcPr>
          <w:p w14:paraId="4B5744EE">
            <w:pPr>
              <w:spacing w:after="0" w:line="240" w:lineRule="auto"/>
              <w:jc w:val="left"/>
            </w:pPr>
            <w:r>
              <w:rPr>
                <w:rFonts w:ascii="宋体" w:hAnsi="宋体" w:eastAsia="宋体"/>
                <w:b w:val="0"/>
                <w:sz w:val="21"/>
              </w:rPr>
              <w:t>2024年12月31日至2026年12月31日</w:t>
            </w:r>
          </w:p>
        </w:tc>
      </w:tr>
    </w:tbl>
    <w:p w14:paraId="0A447E7E"/>
    <w:p w14:paraId="3FAB68AE">
      <w:pPr>
        <w:pStyle w:val="3"/>
        <w:spacing w:before="120" w:after="120"/>
        <w:jc w:val="left"/>
      </w:pPr>
      <w:r>
        <w:rPr>
          <w:rFonts w:ascii="黑体" w:hAnsi="黑体" w:eastAsia="黑体"/>
          <w:b/>
          <w:sz w:val="28"/>
        </w:rPr>
        <w:t>1. 任务来源</w:t>
      </w:r>
    </w:p>
    <w:p w14:paraId="1458BAD7">
      <w:pPr>
        <w:spacing w:before="0" w:after="0" w:line="360" w:lineRule="auto"/>
        <w:ind w:firstLine="420"/>
        <w:jc w:val="both"/>
      </w:pPr>
      <w:r>
        <w:rPr>
          <w:rFonts w:ascii="宋体" w:hAnsi="宋体" w:eastAsia="宋体"/>
          <w:b w:val="0"/>
          <w:sz w:val="24"/>
        </w:rPr>
        <w:t>本项目来源于辽宁省科学技术计划重点研发项目—产业技术创新类“智能低空无人机集群地面协同侦测灭火系统研发”（项目编号：2024JH2/102400020）。其中，华录科技文化（大连）有限公司为项目承担单位（甲方），东北财经大学为项目合作单位（乙方）。本技术报告对应的子课题任务为“人工智能识别算法及辅助决策系统”，乙方执行期限为2024年12月31日至2026年12月31日。</w:t>
      </w:r>
    </w:p>
    <w:p w14:paraId="6A7AAD58">
      <w:pPr>
        <w:spacing w:before="0" w:after="0" w:line="360" w:lineRule="auto"/>
        <w:ind w:firstLine="420"/>
        <w:jc w:val="both"/>
      </w:pPr>
      <w:r>
        <w:rPr>
          <w:rFonts w:ascii="宋体" w:hAnsi="宋体" w:eastAsia="宋体"/>
          <w:b w:val="0"/>
          <w:sz w:val="24"/>
        </w:rPr>
        <w:t>依据双方签订的《辽宁省科学技术计划项目（子课题）任务合同书》，乙方在甲方负责系统开发部署并提供可见光、热成像及相关感知数据的基础上，负责开展热源检测与火情预警、火焰侦测与火情评估、火源定位与检测、辅助决策和集群协同等算法研究，并形成支撑甲方系统集成和验收的技术成果。</w:t>
      </w:r>
    </w:p>
    <w:p w14:paraId="37E8FA0C">
      <w:pPr>
        <w:pStyle w:val="3"/>
        <w:spacing w:before="120" w:after="120"/>
        <w:jc w:val="left"/>
      </w:pPr>
      <w:r>
        <w:rPr>
          <w:rFonts w:ascii="黑体" w:hAnsi="黑体" w:eastAsia="黑体"/>
          <w:b/>
          <w:sz w:val="28"/>
        </w:rPr>
        <w:t>2. 研制背景、应用领域、作用意义</w:t>
      </w:r>
    </w:p>
    <w:p w14:paraId="2BF9884B">
      <w:pPr>
        <w:spacing w:before="0" w:after="0" w:line="360" w:lineRule="auto"/>
        <w:ind w:firstLine="420"/>
        <w:jc w:val="both"/>
      </w:pPr>
      <w:r>
        <w:rPr>
          <w:rFonts w:ascii="宋体" w:hAnsi="宋体" w:eastAsia="宋体"/>
          <w:b w:val="0"/>
          <w:sz w:val="24"/>
        </w:rPr>
        <w:t>森林火灾具有突发性强、蔓延速度快、受地形与气象条件影响显著等特点，传统人工巡护和单点监控方式在早期发现、精确定位和实时评估方面存在明显局限。无人机集群具备机动灵活、快速抵近、多点覆盖等优势，若与地面指挥系统以及智能识别算法深度耦合，可显著提升火情侦测、态势感知和调度决策效率。</w:t>
      </w:r>
    </w:p>
    <w:p w14:paraId="3FA249B6">
      <w:pPr>
        <w:spacing w:before="0" w:after="0" w:line="360" w:lineRule="auto"/>
        <w:ind w:firstLine="420"/>
        <w:jc w:val="both"/>
      </w:pPr>
      <w:r>
        <w:rPr>
          <w:rFonts w:ascii="宋体" w:hAnsi="宋体" w:eastAsia="宋体"/>
          <w:b w:val="0"/>
          <w:sz w:val="24"/>
        </w:rPr>
        <w:t>本子课题面向低空无人机集群地面协同侦测灭火系统的关键感知与决策需求，研发人工智能识别算法及辅助决策系统，主要应用于森林火灾巡检预警、火场范围评估、火源定位与灭火辅助决策，也可拓展至应急管理、林草巡护、输电通道高温隐患监测等场景。</w:t>
      </w:r>
    </w:p>
    <w:p w14:paraId="411DEF02">
      <w:pPr>
        <w:spacing w:before="0" w:after="0" w:line="360" w:lineRule="auto"/>
        <w:ind w:firstLine="420"/>
        <w:jc w:val="both"/>
      </w:pPr>
      <w:r>
        <w:rPr>
          <w:rFonts w:ascii="宋体" w:hAnsi="宋体" w:eastAsia="宋体"/>
          <w:b w:val="0"/>
          <w:sz w:val="24"/>
        </w:rPr>
        <w:t>课题的作用意义主要体现在三个方面：一是提升火灾早期发现和快速告警能力，压缩从发现异常到形成告警的时间；二是通过双模态感知与精细分割提高复杂背景条件下的识别鲁棒性，为定量评估提供数据基础；三是为甲方构建空地协同、多机联动作业系统提供算法支撑，促进森林防灭火从经验处置向数据驱动、智能辅助决策转变。</w:t>
      </w:r>
    </w:p>
    <w:p w14:paraId="5487535B">
      <w:pPr>
        <w:pStyle w:val="3"/>
        <w:spacing w:before="120" w:after="120"/>
        <w:jc w:val="left"/>
      </w:pPr>
      <w:r>
        <w:rPr>
          <w:rFonts w:ascii="黑体" w:hAnsi="黑体" w:eastAsia="黑体"/>
          <w:b/>
          <w:sz w:val="28"/>
        </w:rPr>
        <w:t>3. 技术方案、技术原理、技术特征、总体性能指标</w:t>
      </w:r>
    </w:p>
    <w:p w14:paraId="3BE02A18">
      <w:pPr>
        <w:pStyle w:val="4"/>
        <w:spacing w:before="120" w:after="120"/>
        <w:jc w:val="left"/>
      </w:pPr>
      <w:r>
        <w:rPr>
          <w:rFonts w:ascii="黑体" w:hAnsi="黑体" w:eastAsia="黑体"/>
          <w:b/>
          <w:sz w:val="24"/>
        </w:rPr>
        <w:t>3.1 技术方案</w:t>
      </w:r>
    </w:p>
    <w:p w14:paraId="276571DC">
      <w:pPr>
        <w:spacing w:before="0" w:after="0" w:line="360" w:lineRule="auto"/>
        <w:ind w:firstLine="420"/>
        <w:jc w:val="both"/>
      </w:pPr>
      <w:r>
        <w:rPr>
          <w:rFonts w:ascii="宋体" w:hAnsi="宋体" w:eastAsia="宋体"/>
          <w:b w:val="0"/>
          <w:sz w:val="24"/>
        </w:rPr>
        <w:t>技术方案总体采用“多源数据准备—双模态快速检测—精细分割与面积反演—辅助决策输出—页面化展示”的技术路线。</w:t>
      </w:r>
    </w:p>
    <w:p w14:paraId="10BB93A2">
      <w:pPr>
        <w:spacing w:before="0" w:after="0" w:line="360" w:lineRule="auto"/>
        <w:ind w:firstLine="420"/>
        <w:jc w:val="both"/>
      </w:pPr>
      <w:r>
        <w:rPr>
          <w:rFonts w:ascii="宋体" w:hAnsi="宋体" w:eastAsia="宋体"/>
          <w:b w:val="0"/>
          <w:sz w:val="24"/>
        </w:rPr>
        <w:t>1. 数据层：以公开红外数据和可见光图像为基础，融合真实火灾图像及AIGC补充样本，构建覆盖正常山林、明火、隐蔽热源和干扰项的训练与测试数据集；同时采用大框和精细化两类标注规则，兼顾收敛速度与小目标敏感度。</w:t>
      </w:r>
    </w:p>
    <w:p w14:paraId="6C78A123">
      <w:pPr>
        <w:spacing w:before="0" w:after="0" w:line="360" w:lineRule="auto"/>
        <w:ind w:firstLine="420"/>
        <w:jc w:val="both"/>
      </w:pPr>
      <w:r>
        <w:rPr>
          <w:rFonts w:ascii="宋体" w:hAnsi="宋体" w:eastAsia="宋体"/>
          <w:b w:val="0"/>
          <w:sz w:val="24"/>
        </w:rPr>
        <w:t>2. 算法层：检测侧采用YOLOv5小模型分别处理红外与可见光数据，分割侧采用SAM2对检测结果进行精细掩码生成；定位与评估侧结合固定航线、多传感器信息和面积反演逻辑输出火情评估结果。</w:t>
      </w:r>
    </w:p>
    <w:p w14:paraId="5C9CB981">
      <w:pPr>
        <w:spacing w:before="0" w:after="0" w:line="360" w:lineRule="auto"/>
        <w:ind w:firstLine="420"/>
        <w:jc w:val="both"/>
      </w:pPr>
      <w:r>
        <w:rPr>
          <w:rFonts w:ascii="宋体" w:hAnsi="宋体" w:eastAsia="宋体"/>
          <w:b w:val="0"/>
          <w:sz w:val="24"/>
        </w:rPr>
        <w:t>3. 融合层：采用决策级融合架构，并行运行红外/可见光双路检测模型，以“或逻辑”实现毫秒级聚合，提高召回率；以YOLOv5检测框触发SAM2，实现“快筛+精算”的动态负载均衡。</w:t>
      </w:r>
    </w:p>
    <w:p w14:paraId="4D47CAC6">
      <w:pPr>
        <w:spacing w:before="0" w:after="0" w:line="360" w:lineRule="auto"/>
        <w:ind w:firstLine="420"/>
        <w:jc w:val="both"/>
      </w:pPr>
      <w:r>
        <w:rPr>
          <w:rFonts w:ascii="宋体" w:hAnsi="宋体" w:eastAsia="宋体"/>
          <w:b w:val="0"/>
          <w:sz w:val="24"/>
        </w:rPr>
        <w:t>4. 应用层：基于Flask实现图像、视频和双路摄像头输入模式，输出可视化图、纯掩码图、日志及CSV结果，为甲方系统部署和人工复核提供界面基础。</w:t>
      </w:r>
    </w:p>
    <w:p w14:paraId="27D725D1">
      <w:pPr>
        <w:pStyle w:val="4"/>
        <w:spacing w:before="120" w:after="120"/>
        <w:jc w:val="left"/>
      </w:pPr>
      <w:r>
        <w:rPr>
          <w:rFonts w:ascii="黑体" w:hAnsi="黑体" w:eastAsia="黑体"/>
          <w:b/>
          <w:sz w:val="24"/>
        </w:rPr>
        <w:t>3.2 技术原理</w:t>
      </w:r>
    </w:p>
    <w:p w14:paraId="327FB8A8">
      <w:pPr>
        <w:spacing w:before="0" w:after="0" w:line="360" w:lineRule="auto"/>
        <w:ind w:firstLine="420"/>
        <w:jc w:val="both"/>
      </w:pPr>
      <w:r>
        <w:rPr>
          <w:rFonts w:ascii="宋体" w:hAnsi="宋体" w:eastAsia="宋体"/>
          <w:b w:val="0"/>
          <w:sz w:val="24"/>
        </w:rPr>
        <w:t>（1）热源检测与火情预警原理。利用热成像图像中的高温响应特征及其空间分布信息，通过卷积神经网络提取多尺度特征，对热源目标进行快速识别与分类；结合阈值逻辑和时间响应机制，实现发现异常后的即时告警。</w:t>
      </w:r>
    </w:p>
    <w:p w14:paraId="31B08114">
      <w:pPr>
        <w:spacing w:before="0" w:after="0" w:line="360" w:lineRule="auto"/>
        <w:ind w:firstLine="420"/>
        <w:jc w:val="both"/>
      </w:pPr>
      <w:r>
        <w:rPr>
          <w:rFonts w:ascii="宋体" w:hAnsi="宋体" w:eastAsia="宋体"/>
          <w:b w:val="0"/>
          <w:sz w:val="24"/>
        </w:rPr>
        <w:t>（2）火焰侦测与火情评估原理。基于可见光图像中的火焰纹理、颜色、边缘及烟雾形态特征，以及红外图像中的温度分布响应，构建双模态检测链路，提高复杂背景、低光照和遮挡场景下的识别稳定性。</w:t>
      </w:r>
    </w:p>
    <w:p w14:paraId="526AACD2">
      <w:pPr>
        <w:spacing w:before="0" w:after="0" w:line="360" w:lineRule="auto"/>
        <w:ind w:firstLine="420"/>
        <w:jc w:val="both"/>
      </w:pPr>
      <w:r>
        <w:rPr>
          <w:rFonts w:ascii="宋体" w:hAnsi="宋体" w:eastAsia="宋体"/>
          <w:b w:val="0"/>
          <w:sz w:val="24"/>
        </w:rPr>
        <w:t>（3）火源定位与检测原理。针对固定巡航路线和固定点位场景，结合图像检测结果、多传感器信息及后续可接入的测距/坐标数据，对火源位置进行估计和校准，为任务点生成和灭火资源投送提供依据。</w:t>
      </w:r>
    </w:p>
    <w:p w14:paraId="793C8F96">
      <w:pPr>
        <w:spacing w:before="0" w:after="0" w:line="360" w:lineRule="auto"/>
        <w:ind w:firstLine="420"/>
        <w:jc w:val="both"/>
      </w:pPr>
      <w:r>
        <w:rPr>
          <w:rFonts w:ascii="宋体" w:hAnsi="宋体" w:eastAsia="宋体"/>
          <w:b w:val="0"/>
          <w:sz w:val="24"/>
        </w:rPr>
        <w:t>（4）辅助决策原理。根据火源识别、火场面积、火势等级、环境变化和资源配置等信息，形成辅助决策结果。系统采用结构化输出形式，为多无人机协同任务分配、灭火方案制定和作业节奏调整提供数据支撑。</w:t>
      </w:r>
    </w:p>
    <w:p w14:paraId="3BA862BD">
      <w:pPr>
        <w:spacing w:before="0" w:after="0" w:line="360" w:lineRule="auto"/>
        <w:ind w:firstLine="420"/>
        <w:jc w:val="both"/>
      </w:pPr>
      <w:r>
        <w:rPr>
          <w:rFonts w:ascii="宋体" w:hAnsi="宋体" w:eastAsia="宋体"/>
          <w:b w:val="0"/>
          <w:sz w:val="24"/>
        </w:rPr>
        <w:t>（5）面积反演原理。依据SAM2输出的纯火区掩码图、无人机拍摄高度和相机视场角，先计算地面分辨率，再统计掩码有效像素数，最终换算实际火场面积，并按森林火灾等级标准输出“一般/较大/重大/特别重大”分类结果。</w:t>
      </w:r>
    </w:p>
    <w:p w14:paraId="67EA3FA3">
      <w:pPr>
        <w:pStyle w:val="4"/>
        <w:spacing w:before="120" w:after="120"/>
        <w:jc w:val="left"/>
      </w:pPr>
      <w:r>
        <w:rPr>
          <w:rFonts w:ascii="黑体" w:hAnsi="黑体" w:eastAsia="黑体"/>
          <w:b/>
          <w:sz w:val="24"/>
        </w:rPr>
        <w:t>3.3 技术特征</w:t>
      </w:r>
    </w:p>
    <w:p w14:paraId="3869729F">
      <w:pPr>
        <w:spacing w:before="0" w:after="0" w:line="360" w:lineRule="auto"/>
        <w:ind w:firstLine="420"/>
        <w:jc w:val="both"/>
      </w:pPr>
      <w:r>
        <w:rPr>
          <w:rFonts w:ascii="宋体" w:hAnsi="宋体" w:eastAsia="宋体"/>
          <w:b w:val="0"/>
          <w:sz w:val="24"/>
        </w:rPr>
        <w:t>1. 双模态协同：同时利用红外与可见光数据进行独立检测和决策级融合，提升复杂环境下识别鲁棒性。</w:t>
      </w:r>
    </w:p>
    <w:p w14:paraId="11C564A9">
      <w:pPr>
        <w:spacing w:before="0" w:after="0" w:line="360" w:lineRule="auto"/>
        <w:ind w:firstLine="420"/>
        <w:jc w:val="both"/>
      </w:pPr>
      <w:r>
        <w:rPr>
          <w:rFonts w:ascii="宋体" w:hAnsi="宋体" w:eastAsia="宋体"/>
          <w:b w:val="0"/>
          <w:sz w:val="24"/>
        </w:rPr>
        <w:t>2. 大小模型协同：采用YOLOv5执行全帧快速筛查，仅在有必要时触发SAM2分割，实现实时性与精度兼顾。</w:t>
      </w:r>
    </w:p>
    <w:p w14:paraId="3D4DBD00">
      <w:pPr>
        <w:spacing w:before="0" w:after="0" w:line="360" w:lineRule="auto"/>
        <w:ind w:firstLine="420"/>
        <w:jc w:val="both"/>
      </w:pPr>
      <w:r>
        <w:rPr>
          <w:rFonts w:ascii="宋体" w:hAnsi="宋体" w:eastAsia="宋体"/>
          <w:b w:val="0"/>
          <w:sz w:val="24"/>
        </w:rPr>
        <w:t>3. 面向无人机边缘部署：围绕机载算力约束开展轻量化设计、稀疏采样与去抖策略优化，降低计算负载。</w:t>
      </w:r>
    </w:p>
    <w:p w14:paraId="673BD5E5">
      <w:pPr>
        <w:spacing w:before="0" w:after="0" w:line="360" w:lineRule="auto"/>
        <w:ind w:firstLine="420"/>
        <w:jc w:val="both"/>
      </w:pPr>
      <w:r>
        <w:rPr>
          <w:rFonts w:ascii="宋体" w:hAnsi="宋体" w:eastAsia="宋体"/>
          <w:b w:val="0"/>
          <w:sz w:val="24"/>
        </w:rPr>
        <w:t>4. 数据构建具有工程针对性：针对无同场景双模态航拍数据、罕见场景样本少等问题，引入AIGC补充与双标注规则，提高训练可用性。</w:t>
      </w:r>
    </w:p>
    <w:p w14:paraId="24B077F5">
      <w:pPr>
        <w:spacing w:before="0" w:after="0" w:line="360" w:lineRule="auto"/>
        <w:ind w:firstLine="420"/>
        <w:jc w:val="both"/>
      </w:pPr>
      <w:r>
        <w:rPr>
          <w:rFonts w:ascii="宋体" w:hAnsi="宋体" w:eastAsia="宋体"/>
          <w:b w:val="0"/>
          <w:sz w:val="24"/>
        </w:rPr>
        <w:t>5. 结果可追溯：系统前端支持日志、mask图、CSV结果和异常输入防御，增强工程应用中的可解释性与复核便利。</w:t>
      </w:r>
    </w:p>
    <w:p w14:paraId="0EB40C1A">
      <w:pPr>
        <w:pStyle w:val="4"/>
        <w:spacing w:before="120" w:after="120"/>
        <w:jc w:val="left"/>
      </w:pPr>
      <w:r>
        <w:rPr>
          <w:rFonts w:ascii="黑体" w:hAnsi="黑体" w:eastAsia="黑体"/>
          <w:b/>
          <w:sz w:val="24"/>
        </w:rPr>
        <w:t>3.4 总体性能指标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4"/>
        <w:gridCol w:w="2105"/>
        <w:gridCol w:w="4225"/>
      </w:tblGrid>
      <w:tr w14:paraId="68F3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275F819">
            <w:pPr>
              <w:spacing w:after="0" w:line="240" w:lineRule="auto"/>
              <w:jc w:val="center"/>
            </w:pPr>
            <w:r>
              <w:rPr>
                <w:rFonts w:ascii="黑体" w:hAnsi="黑体" w:eastAsia="黑体"/>
                <w:b/>
                <w:sz w:val="20"/>
              </w:rPr>
              <w:t>合同指标</w:t>
            </w:r>
          </w:p>
        </w:tc>
        <w:tc>
          <w:tcPr>
            <w:tcW w:w="2268" w:type="dxa"/>
            <w:vAlign w:val="center"/>
          </w:tcPr>
          <w:p w14:paraId="59D50F64">
            <w:pPr>
              <w:spacing w:after="0" w:line="240" w:lineRule="auto"/>
              <w:jc w:val="center"/>
            </w:pPr>
            <w:r>
              <w:rPr>
                <w:rFonts w:ascii="黑体" w:hAnsi="黑体" w:eastAsia="黑体"/>
                <w:b/>
                <w:sz w:val="20"/>
              </w:rPr>
              <w:t>现有材料判断</w:t>
            </w:r>
          </w:p>
        </w:tc>
        <w:tc>
          <w:tcPr>
            <w:tcW w:w="4535" w:type="dxa"/>
            <w:vAlign w:val="center"/>
          </w:tcPr>
          <w:p w14:paraId="3A162B95">
            <w:pPr>
              <w:spacing w:after="0" w:line="240" w:lineRule="auto"/>
              <w:jc w:val="center"/>
            </w:pPr>
            <w:r>
              <w:rPr>
                <w:rFonts w:ascii="黑体" w:hAnsi="黑体" w:eastAsia="黑体"/>
                <w:b/>
                <w:sz w:val="20"/>
              </w:rPr>
              <w:t>说明</w:t>
            </w:r>
          </w:p>
        </w:tc>
      </w:tr>
      <w:tr w14:paraId="36D1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38F106C">
            <w:pPr>
              <w:spacing w:after="0" w:line="240" w:lineRule="auto"/>
              <w:jc w:val="center"/>
            </w:pPr>
            <w:r>
              <w:rPr>
                <w:rFonts w:ascii="宋体" w:hAnsi="宋体" w:eastAsia="宋体"/>
                <w:b w:val="0"/>
                <w:sz w:val="20"/>
              </w:rPr>
              <w:t>探测告警反应时间≤10s</w:t>
            </w:r>
          </w:p>
        </w:tc>
        <w:tc>
          <w:tcPr>
            <w:tcW w:w="2268" w:type="dxa"/>
            <w:vAlign w:val="center"/>
          </w:tcPr>
          <w:p w14:paraId="399A74B6">
            <w:pPr>
              <w:spacing w:after="0" w:line="240" w:lineRule="auto"/>
              <w:jc w:val="left"/>
            </w:pPr>
            <w:r>
              <w:rPr>
                <w:rFonts w:ascii="宋体" w:hAnsi="宋体" w:eastAsia="宋体"/>
                <w:b w:val="0"/>
                <w:sz w:val="20"/>
              </w:rPr>
              <w:t>已完成内部验证</w:t>
            </w:r>
          </w:p>
        </w:tc>
        <w:tc>
          <w:tcPr>
            <w:tcW w:w="4535" w:type="dxa"/>
            <w:vAlign w:val="center"/>
          </w:tcPr>
          <w:p w14:paraId="4D94C5C8">
            <w:pPr>
              <w:spacing w:after="0" w:line="240" w:lineRule="auto"/>
              <w:jc w:val="left"/>
            </w:pPr>
            <w:r>
              <w:rPr>
                <w:rFonts w:ascii="宋体" w:hAnsi="宋体" w:eastAsia="宋体"/>
                <w:b w:val="0"/>
                <w:sz w:val="20"/>
              </w:rPr>
              <w:t>模型加载时间5.98s，发现火灾到告警时间差0s。</w:t>
            </w:r>
          </w:p>
        </w:tc>
      </w:tr>
      <w:tr w14:paraId="119C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5F7A0EE">
            <w:pPr>
              <w:spacing w:after="0" w:line="240" w:lineRule="auto"/>
              <w:jc w:val="center"/>
            </w:pPr>
            <w:r>
              <w:rPr>
                <w:rFonts w:ascii="宋体" w:hAnsi="宋体" w:eastAsia="宋体"/>
                <w:b w:val="0"/>
                <w:sz w:val="20"/>
              </w:rPr>
              <w:t>固定路线固定点位环境变化识别概率≥90%</w:t>
            </w:r>
          </w:p>
        </w:tc>
        <w:tc>
          <w:tcPr>
            <w:tcW w:w="2268" w:type="dxa"/>
            <w:vAlign w:val="center"/>
          </w:tcPr>
          <w:p w14:paraId="4D6D1D80">
            <w:pPr>
              <w:spacing w:after="0" w:line="240" w:lineRule="auto"/>
              <w:jc w:val="left"/>
            </w:pPr>
            <w:r>
              <w:rPr>
                <w:rFonts w:ascii="宋体" w:hAnsi="宋体" w:eastAsia="宋体"/>
                <w:b w:val="0"/>
                <w:sz w:val="20"/>
              </w:rPr>
              <w:t>已完成内部验证</w:t>
            </w:r>
          </w:p>
        </w:tc>
        <w:tc>
          <w:tcPr>
            <w:tcW w:w="4535" w:type="dxa"/>
            <w:vAlign w:val="center"/>
          </w:tcPr>
          <w:p w14:paraId="61126A71">
            <w:pPr>
              <w:spacing w:after="0" w:line="240" w:lineRule="auto"/>
              <w:jc w:val="left"/>
            </w:pPr>
            <w:r>
              <w:rPr>
                <w:rFonts w:ascii="宋体" w:hAnsi="宋体" w:eastAsia="宋体"/>
                <w:b w:val="0"/>
                <w:sz w:val="20"/>
              </w:rPr>
              <w:t>有效样本67个，主口径识别率100%，Wilson 95%下界94.58%。</w:t>
            </w:r>
          </w:p>
        </w:tc>
      </w:tr>
      <w:tr w14:paraId="2707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0809C63">
            <w:pPr>
              <w:spacing w:after="0" w:line="240" w:lineRule="auto"/>
              <w:jc w:val="center"/>
            </w:pPr>
            <w:r>
              <w:rPr>
                <w:rFonts w:ascii="宋体" w:hAnsi="宋体" w:eastAsia="宋体"/>
                <w:b w:val="0"/>
                <w:sz w:val="20"/>
              </w:rPr>
              <w:t>自主巡检协同定位精度≤0.5m</w:t>
            </w:r>
          </w:p>
        </w:tc>
        <w:tc>
          <w:tcPr>
            <w:tcW w:w="2268" w:type="dxa"/>
            <w:vAlign w:val="center"/>
          </w:tcPr>
          <w:p w14:paraId="531A5B19">
            <w:pPr>
              <w:spacing w:after="0" w:line="240" w:lineRule="auto"/>
              <w:jc w:val="left"/>
            </w:pPr>
            <w:r>
              <w:rPr>
                <w:rFonts w:ascii="宋体" w:hAnsi="宋体" w:eastAsia="宋体"/>
                <w:b w:val="0"/>
                <w:sz w:val="20"/>
              </w:rPr>
              <w:t>待补充联调证据</w:t>
            </w:r>
          </w:p>
        </w:tc>
        <w:tc>
          <w:tcPr>
            <w:tcW w:w="4535" w:type="dxa"/>
            <w:vAlign w:val="center"/>
          </w:tcPr>
          <w:p w14:paraId="5B04A76F">
            <w:pPr>
              <w:spacing w:after="0" w:line="240" w:lineRule="auto"/>
              <w:jc w:val="left"/>
            </w:pPr>
            <w:r>
              <w:rPr>
                <w:rFonts w:ascii="宋体" w:hAnsi="宋体" w:eastAsia="宋体"/>
                <w:b w:val="0"/>
                <w:sz w:val="20"/>
              </w:rPr>
              <w:t>现有摘录材料未见完整原始测试记录。</w:t>
            </w:r>
          </w:p>
        </w:tc>
      </w:tr>
      <w:tr w14:paraId="6013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45C8FE2">
            <w:pPr>
              <w:spacing w:after="0" w:line="240" w:lineRule="auto"/>
              <w:jc w:val="center"/>
            </w:pPr>
            <w:r>
              <w:rPr>
                <w:rFonts w:ascii="宋体" w:hAnsi="宋体" w:eastAsia="宋体"/>
                <w:b w:val="0"/>
                <w:sz w:val="20"/>
              </w:rPr>
              <w:t>自主巡检轨迹跟踪精度≤1m</w:t>
            </w:r>
          </w:p>
        </w:tc>
        <w:tc>
          <w:tcPr>
            <w:tcW w:w="2268" w:type="dxa"/>
            <w:vAlign w:val="center"/>
          </w:tcPr>
          <w:p w14:paraId="29A86BF9">
            <w:pPr>
              <w:spacing w:after="0" w:line="240" w:lineRule="auto"/>
              <w:jc w:val="left"/>
            </w:pPr>
            <w:r>
              <w:rPr>
                <w:rFonts w:ascii="宋体" w:hAnsi="宋体" w:eastAsia="宋体"/>
                <w:b w:val="0"/>
                <w:sz w:val="20"/>
              </w:rPr>
              <w:t>待补充联调证据</w:t>
            </w:r>
          </w:p>
        </w:tc>
        <w:tc>
          <w:tcPr>
            <w:tcW w:w="4535" w:type="dxa"/>
            <w:vAlign w:val="center"/>
          </w:tcPr>
          <w:p w14:paraId="78C48112">
            <w:pPr>
              <w:spacing w:after="0" w:line="240" w:lineRule="auto"/>
              <w:jc w:val="left"/>
            </w:pPr>
            <w:r>
              <w:rPr>
                <w:rFonts w:ascii="宋体" w:hAnsi="宋体" w:eastAsia="宋体"/>
                <w:b w:val="0"/>
                <w:sz w:val="20"/>
              </w:rPr>
              <w:t>需结合甲方系统飞行日志或现场测试记录确认。</w:t>
            </w:r>
          </w:p>
        </w:tc>
      </w:tr>
      <w:tr w14:paraId="54CE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C823B43">
            <w:pPr>
              <w:spacing w:after="0" w:line="240" w:lineRule="auto"/>
              <w:jc w:val="center"/>
            </w:pPr>
            <w:r>
              <w:rPr>
                <w:rFonts w:ascii="宋体" w:hAnsi="宋体" w:eastAsia="宋体"/>
                <w:b w:val="0"/>
                <w:sz w:val="20"/>
              </w:rPr>
              <w:t>任务点定位精度±0.1m</w:t>
            </w:r>
          </w:p>
        </w:tc>
        <w:tc>
          <w:tcPr>
            <w:tcW w:w="2268" w:type="dxa"/>
            <w:vAlign w:val="center"/>
          </w:tcPr>
          <w:p w14:paraId="5493AE88">
            <w:pPr>
              <w:spacing w:after="0" w:line="240" w:lineRule="auto"/>
              <w:jc w:val="left"/>
            </w:pPr>
            <w:r>
              <w:rPr>
                <w:rFonts w:ascii="宋体" w:hAnsi="宋体" w:eastAsia="宋体"/>
                <w:b w:val="0"/>
                <w:sz w:val="20"/>
              </w:rPr>
              <w:t>待补充联调证据</w:t>
            </w:r>
          </w:p>
        </w:tc>
        <w:tc>
          <w:tcPr>
            <w:tcW w:w="4535" w:type="dxa"/>
            <w:vAlign w:val="center"/>
          </w:tcPr>
          <w:p w14:paraId="3C421989">
            <w:pPr>
              <w:spacing w:after="0" w:line="240" w:lineRule="auto"/>
              <w:jc w:val="left"/>
            </w:pPr>
            <w:r>
              <w:rPr>
                <w:rFonts w:ascii="宋体" w:hAnsi="宋体" w:eastAsia="宋体"/>
                <w:b w:val="0"/>
                <w:sz w:val="20"/>
              </w:rPr>
              <w:t>需结合测距/坐标数据与联调记录确认。</w:t>
            </w:r>
          </w:p>
        </w:tc>
      </w:tr>
      <w:tr w14:paraId="1BEA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D309661">
            <w:pPr>
              <w:spacing w:after="0" w:line="240" w:lineRule="auto"/>
              <w:jc w:val="center"/>
            </w:pPr>
            <w:r>
              <w:rPr>
                <w:rFonts w:ascii="宋体" w:hAnsi="宋体" w:eastAsia="宋体"/>
                <w:b w:val="0"/>
                <w:sz w:val="20"/>
              </w:rPr>
              <w:t>智能识别定位系统1km</w:t>
            </w:r>
          </w:p>
        </w:tc>
        <w:tc>
          <w:tcPr>
            <w:tcW w:w="2268" w:type="dxa"/>
            <w:vAlign w:val="center"/>
          </w:tcPr>
          <w:p w14:paraId="51324FD8">
            <w:pPr>
              <w:spacing w:after="0" w:line="240" w:lineRule="auto"/>
              <w:jc w:val="left"/>
            </w:pPr>
            <w:r>
              <w:rPr>
                <w:rFonts w:ascii="宋体" w:hAnsi="宋体" w:eastAsia="宋体"/>
                <w:b w:val="0"/>
                <w:sz w:val="20"/>
              </w:rPr>
              <w:t>待补充场景化测试</w:t>
            </w:r>
          </w:p>
        </w:tc>
        <w:tc>
          <w:tcPr>
            <w:tcW w:w="4535" w:type="dxa"/>
            <w:vAlign w:val="center"/>
          </w:tcPr>
          <w:p w14:paraId="36ADAF94">
            <w:pPr>
              <w:spacing w:after="0" w:line="240" w:lineRule="auto"/>
              <w:jc w:val="left"/>
            </w:pPr>
            <w:r>
              <w:rPr>
                <w:rFonts w:ascii="宋体" w:hAnsi="宋体" w:eastAsia="宋体"/>
                <w:b w:val="0"/>
                <w:sz w:val="20"/>
              </w:rPr>
              <w:t>现有材料未给出1km口径下的完整实测记录。</w:t>
            </w:r>
          </w:p>
        </w:tc>
      </w:tr>
      <w:tr w14:paraId="7E8E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9C2F1AE">
            <w:pPr>
              <w:spacing w:after="0" w:line="240" w:lineRule="auto"/>
              <w:jc w:val="center"/>
            </w:pPr>
            <w:r>
              <w:rPr>
                <w:rFonts w:ascii="宋体" w:hAnsi="宋体" w:eastAsia="宋体"/>
                <w:b w:val="0"/>
                <w:sz w:val="20"/>
              </w:rPr>
              <w:t>火点探测圆概率误差CEP≤20m</w:t>
            </w:r>
          </w:p>
        </w:tc>
        <w:tc>
          <w:tcPr>
            <w:tcW w:w="2268" w:type="dxa"/>
            <w:vAlign w:val="center"/>
          </w:tcPr>
          <w:p w14:paraId="6D1C2629">
            <w:pPr>
              <w:spacing w:after="0" w:line="240" w:lineRule="auto"/>
              <w:jc w:val="left"/>
            </w:pPr>
            <w:r>
              <w:rPr>
                <w:rFonts w:ascii="宋体" w:hAnsi="宋体" w:eastAsia="宋体"/>
                <w:b w:val="0"/>
                <w:sz w:val="20"/>
              </w:rPr>
              <w:t>已完成替代性验证</w:t>
            </w:r>
          </w:p>
        </w:tc>
        <w:tc>
          <w:tcPr>
            <w:tcW w:w="4535" w:type="dxa"/>
            <w:vAlign w:val="center"/>
          </w:tcPr>
          <w:p w14:paraId="3E5DA11B">
            <w:pPr>
              <w:spacing w:after="0" w:line="240" w:lineRule="auto"/>
              <w:jc w:val="left"/>
            </w:pPr>
            <w:r>
              <w:rPr>
                <w:rFonts w:ascii="宋体" w:hAnsi="宋体" w:eastAsia="宋体"/>
                <w:b w:val="0"/>
                <w:sz w:val="20"/>
              </w:rPr>
              <w:t>在无真实坐标条件下完成像素口径替代测试，正式验收宜补充实景测试。</w:t>
            </w:r>
          </w:p>
        </w:tc>
      </w:tr>
      <w:tr w14:paraId="3F3A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941129C">
            <w:pPr>
              <w:spacing w:after="0" w:line="240" w:lineRule="auto"/>
              <w:jc w:val="center"/>
            </w:pPr>
            <w:r>
              <w:rPr>
                <w:rFonts w:ascii="宋体" w:hAnsi="宋体" w:eastAsia="宋体"/>
                <w:b w:val="0"/>
                <w:sz w:val="20"/>
              </w:rPr>
              <w:t>火点最小识别像素不大于30×30</w:t>
            </w:r>
          </w:p>
        </w:tc>
        <w:tc>
          <w:tcPr>
            <w:tcW w:w="2268" w:type="dxa"/>
            <w:vAlign w:val="center"/>
          </w:tcPr>
          <w:p w14:paraId="46AAB10E">
            <w:pPr>
              <w:spacing w:after="0" w:line="240" w:lineRule="auto"/>
              <w:jc w:val="left"/>
            </w:pPr>
            <w:r>
              <w:rPr>
                <w:rFonts w:ascii="宋体" w:hAnsi="宋体" w:eastAsia="宋体"/>
                <w:b w:val="0"/>
                <w:sz w:val="20"/>
              </w:rPr>
              <w:t>已开展专项优化</w:t>
            </w:r>
          </w:p>
        </w:tc>
        <w:tc>
          <w:tcPr>
            <w:tcW w:w="4535" w:type="dxa"/>
            <w:vAlign w:val="center"/>
          </w:tcPr>
          <w:p w14:paraId="34EF44F4">
            <w:pPr>
              <w:spacing w:after="0" w:line="240" w:lineRule="auto"/>
              <w:jc w:val="left"/>
            </w:pPr>
            <w:r>
              <w:rPr>
                <w:rFonts w:ascii="宋体" w:hAnsi="宋体" w:eastAsia="宋体"/>
                <w:b w:val="0"/>
                <w:sz w:val="20"/>
              </w:rPr>
              <w:t>完成30×30专属样本构造与锚框优化，当前对30×60及以上火点可稳定检测。</w:t>
            </w:r>
          </w:p>
        </w:tc>
      </w:tr>
      <w:tr w14:paraId="73D0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A338975">
            <w:pPr>
              <w:spacing w:after="0" w:line="240" w:lineRule="auto"/>
              <w:jc w:val="center"/>
            </w:pPr>
            <w:r>
              <w:rPr>
                <w:rFonts w:ascii="宋体" w:hAnsi="宋体" w:eastAsia="宋体"/>
                <w:b w:val="0"/>
                <w:sz w:val="20"/>
              </w:rPr>
              <w:t>火情检测算法≥50FPS</w:t>
            </w:r>
          </w:p>
        </w:tc>
        <w:tc>
          <w:tcPr>
            <w:tcW w:w="2268" w:type="dxa"/>
            <w:vAlign w:val="center"/>
          </w:tcPr>
          <w:p w14:paraId="0C484514">
            <w:pPr>
              <w:spacing w:after="0" w:line="240" w:lineRule="auto"/>
              <w:jc w:val="left"/>
            </w:pPr>
            <w:r>
              <w:rPr>
                <w:rFonts w:ascii="宋体" w:hAnsi="宋体" w:eastAsia="宋体"/>
                <w:b w:val="0"/>
                <w:sz w:val="20"/>
              </w:rPr>
              <w:t>已形成测试代码</w:t>
            </w:r>
          </w:p>
        </w:tc>
        <w:tc>
          <w:tcPr>
            <w:tcW w:w="4535" w:type="dxa"/>
            <w:vAlign w:val="center"/>
          </w:tcPr>
          <w:p w14:paraId="63A99C67">
            <w:pPr>
              <w:spacing w:after="0" w:line="240" w:lineRule="auto"/>
              <w:jc w:val="left"/>
            </w:pPr>
            <w:r>
              <w:rPr>
                <w:rFonts w:ascii="宋体" w:hAnsi="宋体" w:eastAsia="宋体"/>
                <w:b w:val="0"/>
                <w:sz w:val="20"/>
              </w:rPr>
              <w:t>现有摘录材料未列出最终FPS数值，需以原始测试报表为准。</w:t>
            </w:r>
          </w:p>
        </w:tc>
      </w:tr>
      <w:tr w14:paraId="07203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50FE613">
            <w:pPr>
              <w:spacing w:after="0" w:line="240" w:lineRule="auto"/>
              <w:jc w:val="center"/>
            </w:pPr>
            <w:r>
              <w:rPr>
                <w:rFonts w:ascii="宋体" w:hAnsi="宋体" w:eastAsia="宋体"/>
                <w:b w:val="0"/>
                <w:sz w:val="20"/>
              </w:rPr>
              <w:t>协同灭火智能决策正确率≥85%</w:t>
            </w:r>
          </w:p>
        </w:tc>
        <w:tc>
          <w:tcPr>
            <w:tcW w:w="2268" w:type="dxa"/>
            <w:vAlign w:val="center"/>
          </w:tcPr>
          <w:p w14:paraId="4A485DB4">
            <w:pPr>
              <w:spacing w:after="0" w:line="240" w:lineRule="auto"/>
              <w:jc w:val="left"/>
            </w:pPr>
            <w:r>
              <w:rPr>
                <w:rFonts w:ascii="宋体" w:hAnsi="宋体" w:eastAsia="宋体"/>
                <w:b w:val="0"/>
                <w:sz w:val="20"/>
              </w:rPr>
              <w:t>待甲方系统联调确认</w:t>
            </w:r>
          </w:p>
        </w:tc>
        <w:tc>
          <w:tcPr>
            <w:tcW w:w="4535" w:type="dxa"/>
            <w:vAlign w:val="center"/>
          </w:tcPr>
          <w:p w14:paraId="4E815F70">
            <w:pPr>
              <w:spacing w:after="0" w:line="240" w:lineRule="auto"/>
              <w:jc w:val="left"/>
            </w:pPr>
            <w:r>
              <w:rPr>
                <w:rFonts w:ascii="宋体" w:hAnsi="宋体" w:eastAsia="宋体"/>
                <w:b w:val="0"/>
                <w:sz w:val="20"/>
              </w:rPr>
              <w:t>内部资料标注为“进行中”，建议以联调验收结果确认。</w:t>
            </w:r>
          </w:p>
        </w:tc>
      </w:tr>
      <w:tr w14:paraId="530C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F3B2626">
            <w:pPr>
              <w:spacing w:after="0" w:line="240" w:lineRule="auto"/>
              <w:jc w:val="center"/>
            </w:pPr>
            <w:r>
              <w:rPr>
                <w:rFonts w:ascii="宋体" w:hAnsi="宋体" w:eastAsia="宋体"/>
                <w:b w:val="0"/>
                <w:sz w:val="20"/>
              </w:rPr>
              <w:t>火点探测准确率≥99%</w:t>
            </w:r>
          </w:p>
        </w:tc>
        <w:tc>
          <w:tcPr>
            <w:tcW w:w="2268" w:type="dxa"/>
            <w:vAlign w:val="center"/>
          </w:tcPr>
          <w:p w14:paraId="22086C9D">
            <w:pPr>
              <w:spacing w:after="0" w:line="240" w:lineRule="auto"/>
              <w:jc w:val="left"/>
            </w:pPr>
            <w:r>
              <w:rPr>
                <w:rFonts w:ascii="宋体" w:hAnsi="宋体" w:eastAsia="宋体"/>
                <w:b w:val="0"/>
                <w:sz w:val="20"/>
              </w:rPr>
              <w:t>已形成联合检测方案</w:t>
            </w:r>
          </w:p>
        </w:tc>
        <w:tc>
          <w:tcPr>
            <w:tcW w:w="4535" w:type="dxa"/>
            <w:vAlign w:val="center"/>
          </w:tcPr>
          <w:p w14:paraId="321990C6">
            <w:pPr>
              <w:spacing w:after="0" w:line="240" w:lineRule="auto"/>
              <w:jc w:val="left"/>
            </w:pPr>
            <w:r>
              <w:rPr>
                <w:rFonts w:ascii="宋体" w:hAnsi="宋体" w:eastAsia="宋体"/>
                <w:b w:val="0"/>
                <w:sz w:val="20"/>
              </w:rPr>
              <w:t>内部资料说明双模态联合检测具备达到目标的技术基础，最终数值需以正式测试报表为准。</w:t>
            </w:r>
          </w:p>
        </w:tc>
      </w:tr>
      <w:tr w14:paraId="543A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E6D6523">
            <w:pPr>
              <w:spacing w:after="0" w:line="240" w:lineRule="auto"/>
              <w:jc w:val="center"/>
            </w:pPr>
            <w:r>
              <w:rPr>
                <w:rFonts w:ascii="宋体" w:hAnsi="宋体" w:eastAsia="宋体"/>
                <w:b w:val="0"/>
                <w:sz w:val="20"/>
              </w:rPr>
              <w:t>火点探测虚警率≤10%</w:t>
            </w:r>
          </w:p>
        </w:tc>
        <w:tc>
          <w:tcPr>
            <w:tcW w:w="2268" w:type="dxa"/>
            <w:vAlign w:val="center"/>
          </w:tcPr>
          <w:p w14:paraId="2699B61B">
            <w:pPr>
              <w:spacing w:after="0" w:line="240" w:lineRule="auto"/>
              <w:jc w:val="left"/>
            </w:pPr>
            <w:r>
              <w:rPr>
                <w:rFonts w:ascii="宋体" w:hAnsi="宋体" w:eastAsia="宋体"/>
                <w:b w:val="0"/>
                <w:sz w:val="20"/>
              </w:rPr>
              <w:t>已形成验证文件</w:t>
            </w:r>
          </w:p>
        </w:tc>
        <w:tc>
          <w:tcPr>
            <w:tcW w:w="4535" w:type="dxa"/>
            <w:vAlign w:val="center"/>
          </w:tcPr>
          <w:p w14:paraId="469659E5">
            <w:pPr>
              <w:spacing w:after="0" w:line="240" w:lineRule="auto"/>
              <w:jc w:val="left"/>
            </w:pPr>
            <w:r>
              <w:rPr>
                <w:rFonts w:ascii="宋体" w:hAnsi="宋体" w:eastAsia="宋体"/>
                <w:b w:val="0"/>
                <w:sz w:val="20"/>
              </w:rPr>
              <w:t>已构建正负样本1:1并增加FMR/FAR验证文件，最终口径需附统计结果。</w:t>
            </w:r>
          </w:p>
        </w:tc>
      </w:tr>
    </w:tbl>
    <w:p w14:paraId="362BA445">
      <w:pPr>
        <w:pStyle w:val="3"/>
        <w:spacing w:before="120" w:after="120"/>
        <w:jc w:val="left"/>
      </w:pPr>
      <w:r>
        <w:rPr>
          <w:rFonts w:ascii="黑体" w:hAnsi="黑体" w:eastAsia="黑体"/>
          <w:b/>
          <w:sz w:val="28"/>
        </w:rPr>
        <w:t>4. 研究试验内容（重点表述）</w:t>
      </w:r>
    </w:p>
    <w:p w14:paraId="7C08076D">
      <w:pPr>
        <w:spacing w:before="0" w:after="0" w:line="360" w:lineRule="auto"/>
        <w:ind w:firstLine="420"/>
        <w:jc w:val="both"/>
      </w:pPr>
      <w:r>
        <w:rPr>
          <w:rFonts w:ascii="宋体" w:hAnsi="宋体" w:eastAsia="宋体"/>
          <w:b w:val="0"/>
          <w:sz w:val="24"/>
        </w:rPr>
        <w:t>（1）数据准备与标注试验。项目组围绕森林火灾图像特点，对公开数据和真实样本进行了整理，重点覆盖正常山林、晴阴雾夜、明火、隐蔽火源以及阳光反射、工业热源、车辆尾气等干扰场景。标注方面，设计并对比了“大框整体标注”和“精细化火点标注”两类规则，兼顾标注效率与小目标检出能力。</w:t>
      </w:r>
    </w:p>
    <w:p w14:paraId="485D27DF">
      <w:pPr>
        <w:spacing w:before="0" w:after="0" w:line="360" w:lineRule="auto"/>
        <w:ind w:firstLine="420"/>
        <w:jc w:val="both"/>
      </w:pPr>
      <w:r>
        <w:rPr>
          <w:rFonts w:ascii="宋体" w:hAnsi="宋体" w:eastAsia="宋体"/>
          <w:b w:val="0"/>
          <w:sz w:val="24"/>
        </w:rPr>
        <w:t>（2）模型训练与调优试验。基于无人机应用特点，以小目标友好、泛化性强和鲁棒性强为目标，围绕mosaic、mixup、copy-paste、hsv扰动、尺度扰动、weight decay等参数开展了系统调优。训练平台采用NVIDIA GeForce RTX 4090 GPU，支撑YOLOv5与SAM2的训练和部署测试。</w:t>
      </w:r>
    </w:p>
    <w:p w14:paraId="65152EDA">
      <w:pPr>
        <w:spacing w:before="0" w:after="0" w:line="360" w:lineRule="auto"/>
        <w:ind w:firstLine="420"/>
        <w:jc w:val="both"/>
      </w:pPr>
      <w:r>
        <w:rPr>
          <w:rFonts w:ascii="宋体" w:hAnsi="宋体" w:eastAsia="宋体"/>
          <w:b w:val="0"/>
          <w:sz w:val="24"/>
        </w:rPr>
        <w:t>（3）多模型协同试验。项目组将YOLOv5用于火情快速筛查，并将检测框作为SAM2输入提示，实现火区轮廓精细分割和火场面积量化。该方案有效解决了矩形检测框难以精确表示不规则火区边界的问题，为火势等级评估和辅助决策提供了更可靠的数据基础。</w:t>
      </w:r>
    </w:p>
    <w:p w14:paraId="72F80EDC">
      <w:pPr>
        <w:spacing w:before="0" w:after="0" w:line="360" w:lineRule="auto"/>
        <w:ind w:firstLine="420"/>
        <w:jc w:val="both"/>
      </w:pPr>
      <w:r>
        <w:rPr>
          <w:rFonts w:ascii="宋体" w:hAnsi="宋体" w:eastAsia="宋体"/>
          <w:b w:val="0"/>
          <w:sz w:val="24"/>
        </w:rPr>
        <w:t>（4）系统展示与流程验证。基于Flask搭建上传与结果展示页面，支持图像、视频及双路实时摄像头三种输入模式，支持检测图像、视频结果、SAM2分割mask、日志和CSV结果输出，并通过命名规范校验</w:t>
      </w:r>
      <w:bookmarkStart w:id="0" w:name="_GoBack"/>
      <w:bookmarkEnd w:id="0"/>
      <w:r>
        <w:rPr>
          <w:rFonts w:ascii="宋体" w:hAnsi="宋体" w:eastAsia="宋体"/>
          <w:b w:val="0"/>
          <w:sz w:val="24"/>
        </w:rPr>
        <w:t>、单模态异常处理等方式增强工程使用稳定性。</w:t>
      </w:r>
    </w:p>
    <w:p w14:paraId="64B54082">
      <w:pPr>
        <w:spacing w:before="0" w:after="0" w:line="360" w:lineRule="auto"/>
        <w:ind w:firstLine="420"/>
        <w:jc w:val="both"/>
      </w:pPr>
      <w:r>
        <w:rPr>
          <w:rFonts w:ascii="宋体" w:hAnsi="宋体" w:eastAsia="宋体"/>
          <w:b w:val="0"/>
          <w:sz w:val="24"/>
        </w:rPr>
        <w:t>（5）</w:t>
      </w:r>
      <w:r>
        <w:rPr>
          <w:rFonts w:ascii="宋体" w:hAnsi="宋体" w:eastAsia="宋体"/>
          <w:b w:val="0"/>
          <w:sz w:val="24"/>
          <w:highlight w:val="yellow"/>
        </w:rPr>
        <w:t>指标测试</w:t>
      </w:r>
      <w:r>
        <w:rPr>
          <w:rFonts w:ascii="宋体" w:hAnsi="宋体" w:eastAsia="宋体"/>
          <w:b w:val="0"/>
          <w:sz w:val="24"/>
        </w:rPr>
        <w:t>与验收准备。课题组围绕合同指标分别建立测试方案，完成探测告警时间、重要点位环境变化识别概率、CEP替代性验证、小目标火点专项测试、准确率与虚警率等验证工作，并形成网盘归档材料，为结题验收和甲方系统集成提供支撑。</w:t>
      </w:r>
    </w:p>
    <w:p w14:paraId="2550EFA7">
      <w:pPr>
        <w:pStyle w:val="3"/>
        <w:spacing w:before="120" w:after="120"/>
        <w:jc w:val="left"/>
      </w:pPr>
      <w:r>
        <w:rPr>
          <w:rFonts w:ascii="黑体" w:hAnsi="黑体" w:eastAsia="黑体"/>
          <w:b/>
          <w:sz w:val="28"/>
        </w:rPr>
        <w:t>5. 项目的先进性和创造性</w:t>
      </w:r>
    </w:p>
    <w:p w14:paraId="0E012364">
      <w:pPr>
        <w:spacing w:before="0" w:after="0" w:line="360" w:lineRule="auto"/>
        <w:ind w:firstLine="420"/>
        <w:jc w:val="both"/>
      </w:pPr>
      <w:r>
        <w:rPr>
          <w:rFonts w:ascii="宋体" w:hAnsi="宋体" w:eastAsia="宋体"/>
          <w:b w:val="0"/>
          <w:sz w:val="24"/>
        </w:rPr>
        <w:t>1. 提出面向森林火灾场景的红外/可见光双模态决策级融合方案，在较小系统复杂度下兼顾高召回与低延迟。</w:t>
      </w:r>
    </w:p>
    <w:p w14:paraId="4B5D726D">
      <w:pPr>
        <w:spacing w:before="0" w:after="0" w:line="360" w:lineRule="auto"/>
        <w:ind w:firstLine="420"/>
        <w:jc w:val="both"/>
      </w:pPr>
      <w:r>
        <w:rPr>
          <w:rFonts w:ascii="宋体" w:hAnsi="宋体" w:eastAsia="宋体"/>
          <w:b w:val="0"/>
          <w:sz w:val="24"/>
        </w:rPr>
        <w:t>2. 构建“YOLOv5快筛+SAM2精算”的大小模型协同链路，将检测、分割、面积反演和等级判定有机串联，实现从定性识别向定量评估延伸。</w:t>
      </w:r>
    </w:p>
    <w:p w14:paraId="0645F7A7">
      <w:pPr>
        <w:spacing w:before="0" w:after="0" w:line="360" w:lineRule="auto"/>
        <w:ind w:firstLine="420"/>
        <w:jc w:val="both"/>
      </w:pPr>
      <w:r>
        <w:rPr>
          <w:rFonts w:ascii="宋体" w:hAnsi="宋体" w:eastAsia="宋体"/>
          <w:b w:val="0"/>
          <w:sz w:val="24"/>
        </w:rPr>
        <w:t>3. 针对样本稀缺和罕见场景难覆盖问题，引入基于真实火灾图像语义提示的AIGC数据补充方式，提高数据建设效率。</w:t>
      </w:r>
    </w:p>
    <w:p w14:paraId="4B35D951">
      <w:pPr>
        <w:spacing w:before="0" w:after="0" w:line="360" w:lineRule="auto"/>
        <w:ind w:firstLine="420"/>
        <w:jc w:val="both"/>
      </w:pPr>
      <w:r>
        <w:rPr>
          <w:rFonts w:ascii="宋体" w:hAnsi="宋体" w:eastAsia="宋体"/>
          <w:b w:val="0"/>
          <w:sz w:val="24"/>
        </w:rPr>
        <w:t>4. 针对无人机机载资源受限特点，围绕轻量化、稀疏采样、帧间去抖和边缘部署进行了工程化优化。</w:t>
      </w:r>
    </w:p>
    <w:p w14:paraId="24D3C96E">
      <w:pPr>
        <w:spacing w:before="0" w:after="0" w:line="360" w:lineRule="auto"/>
        <w:ind w:firstLine="420"/>
        <w:jc w:val="both"/>
      </w:pPr>
      <w:r>
        <w:rPr>
          <w:rFonts w:ascii="宋体" w:hAnsi="宋体" w:eastAsia="宋体"/>
          <w:b w:val="0"/>
          <w:sz w:val="24"/>
        </w:rPr>
        <w:t>5. 在系统实现上注重结果可追溯和异常输入防御，为企业与高校联合研发成果的后续集成、复核和转化应用提供了规范化接口。</w:t>
      </w:r>
    </w:p>
    <w:p w14:paraId="47A8E5B3">
      <w:pPr>
        <w:pStyle w:val="3"/>
        <w:spacing w:before="120" w:after="120"/>
        <w:jc w:val="left"/>
      </w:pPr>
      <w:r>
        <w:rPr>
          <w:rFonts w:ascii="黑体" w:hAnsi="黑体" w:eastAsia="黑体"/>
          <w:b/>
          <w:sz w:val="28"/>
        </w:rPr>
        <w:t>6. 参考文献</w:t>
      </w:r>
    </w:p>
    <w:p w14:paraId="4D7002A8">
      <w:pPr>
        <w:spacing w:before="0" w:after="0" w:line="360" w:lineRule="auto"/>
        <w:ind w:firstLine="0"/>
        <w:jc w:val="both"/>
      </w:pPr>
      <w:r>
        <w:rPr>
          <w:rFonts w:ascii="宋体" w:hAnsi="宋体" w:eastAsia="宋体"/>
          <w:b w:val="0"/>
          <w:sz w:val="24"/>
        </w:rPr>
        <w:t>［1］辽宁省科学技术计划项目（子课题）任务合同书：智能低空无人机集群地面协同侦测灭火系统研发—人工智能识别算法及辅助决策系统.</w:t>
      </w:r>
    </w:p>
    <w:p w14:paraId="03EF9392">
      <w:pPr>
        <w:spacing w:before="0" w:after="0" w:line="360" w:lineRule="auto"/>
        <w:ind w:firstLine="0"/>
        <w:jc w:val="both"/>
      </w:pPr>
      <w:r>
        <w:rPr>
          <w:rFonts w:ascii="宋体" w:hAnsi="宋体" w:eastAsia="宋体"/>
          <w:b w:val="0"/>
          <w:sz w:val="24"/>
        </w:rPr>
        <w:t>［2］图像组内部资料总结base0307.</w:t>
      </w:r>
    </w:p>
    <w:p w14:paraId="2167CEB6">
      <w:pPr>
        <w:spacing w:before="0" w:after="0" w:line="360" w:lineRule="auto"/>
        <w:ind w:firstLine="0"/>
        <w:jc w:val="both"/>
      </w:pPr>
      <w:r>
        <w:rPr>
          <w:rFonts w:ascii="宋体" w:hAnsi="宋体" w:eastAsia="宋体"/>
          <w:b w:val="0"/>
          <w:sz w:val="24"/>
        </w:rPr>
        <w:t>［3］科技计划项目结题验收技术报告（编写提纲）.</w:t>
      </w:r>
    </w:p>
    <w:p w14:paraId="61832E33">
      <w:pPr>
        <w:spacing w:before="0" w:after="0" w:line="360" w:lineRule="auto"/>
        <w:ind w:firstLine="0"/>
        <w:jc w:val="both"/>
      </w:pPr>
      <w:r>
        <w:rPr>
          <w:rFonts w:ascii="宋体" w:hAnsi="宋体" w:eastAsia="宋体"/>
          <w:b w:val="0"/>
          <w:sz w:val="24"/>
        </w:rPr>
        <w:t>［4］辽宁省科技计划项目管理办法.</w:t>
      </w:r>
    </w:p>
    <w:p w14:paraId="40FC64D5">
      <w:pPr>
        <w:spacing w:before="0" w:after="0" w:line="360" w:lineRule="auto"/>
        <w:ind w:firstLine="0"/>
        <w:jc w:val="both"/>
      </w:pPr>
      <w:r>
        <w:rPr>
          <w:rFonts w:ascii="宋体" w:hAnsi="宋体" w:eastAsia="宋体"/>
          <w:b w:val="0"/>
          <w:sz w:val="24"/>
        </w:rPr>
        <w:t>［5］辽宁省科技专项资金管理办法.</w:t>
      </w:r>
    </w:p>
    <w:p w14:paraId="22A426EB">
      <w:pPr>
        <w:spacing w:before="0" w:after="0" w:line="360" w:lineRule="auto"/>
        <w:ind w:firstLine="0"/>
        <w:jc w:val="both"/>
      </w:pPr>
      <w:r>
        <w:rPr>
          <w:rFonts w:ascii="宋体" w:hAnsi="宋体" w:eastAsia="宋体"/>
          <w:b w:val="0"/>
          <w:sz w:val="24"/>
        </w:rPr>
        <w:t>［6］国务院办公厅关于改革完善中央财政科研经费管理的若干意见（国办发〔2021〕32号）.</w:t>
      </w:r>
    </w:p>
    <w:p w14:paraId="76CC1AEB">
      <w:pPr>
        <w:spacing w:before="0" w:after="0" w:line="360" w:lineRule="auto"/>
        <w:ind w:firstLine="0"/>
        <w:jc w:val="both"/>
      </w:pPr>
      <w:r>
        <w:rPr>
          <w:rFonts w:ascii="宋体" w:hAnsi="宋体" w:eastAsia="宋体"/>
          <w:b w:val="0"/>
          <w:sz w:val="24"/>
        </w:rPr>
        <w:t>［7］科技计划项目结题验收系统填报（编写提纲）.</w:t>
      </w:r>
    </w:p>
    <w:p w14:paraId="464A090D">
      <w:pPr>
        <w:spacing w:before="0" w:after="0" w:line="360" w:lineRule="auto"/>
        <w:ind w:firstLine="0"/>
        <w:jc w:val="both"/>
      </w:pPr>
      <w:r>
        <w:rPr>
          <w:rFonts w:ascii="宋体" w:hAnsi="宋体" w:eastAsia="宋体"/>
          <w:b w:val="0"/>
          <w:sz w:val="24"/>
        </w:rPr>
        <w:t>［8］科技计划项目结题验收工作总结报告（编写提纲）.</w:t>
      </w:r>
    </w:p>
    <w:sectPr>
      <w:headerReference r:id="rId5" w:type="default"/>
      <w:footerReference r:id="rId6" w:type="default"/>
      <w:pgSz w:w="11906" w:h="16838"/>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8C675">
    <w:pPr>
      <w:pStyle w:val="24"/>
      <w:jc w:val="center"/>
    </w:pPr>
    <w:r>
      <w:rPr>
        <w:rFonts w:ascii="宋体" w:hAnsi="宋体" w:eastAsia="宋体"/>
        <w:b w:val="0"/>
        <w:sz w:val="18"/>
      </w:rPr>
      <w:t xml:space="preserve">—  </w:t>
    </w:r>
    <w:r>
      <w:fldChar w:fldCharType="begin"/>
    </w:r>
    <w:r>
      <w:instrText xml:space="preserve">PAGE</w:instrText>
    </w:r>
    <w:r>
      <w:fldChar w:fldCharType="separate"/>
    </w:r>
    <w:r>
      <w:t>1</w:t>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5F445">
    <w:pPr>
      <w:pStyle w:val="25"/>
      <w:jc w:val="center"/>
    </w:pPr>
    <w:r>
      <w:rPr>
        <w:rFonts w:ascii="宋体" w:hAnsi="宋体" w:eastAsia="宋体"/>
        <w:b w:val="0"/>
        <w:sz w:val="18"/>
      </w:rPr>
      <w:t>科技计划项目结题验收技术报告（建议稿）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4F00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2049</Words>
  <Characters>2180</Characters>
  <Lines>0</Lines>
  <Paragraphs>0</Paragraphs>
  <TotalTime>1</TotalTime>
  <ScaleCrop>false</ScaleCrop>
  <LinksUpToDate>false</LinksUpToDate>
  <CharactersWithSpaces>2196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柏林无少女</cp:lastModifiedBy>
  <dcterms:modified xsi:type="dcterms:W3CDTF">2026-07-07T12:23:09Z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1E050E01CE56436C94285373BD479BB6_12</vt:lpwstr>
  </property>
</Properties>
</file>