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1CAE7">
      <w:pPr>
        <w:spacing w:before="160" w:after="80" w:line="288" w:lineRule="auto"/>
        <w:jc w:val="left"/>
      </w:pPr>
      <w:r>
        <w:rPr>
          <w:rFonts w:ascii="Times New Roman" w:hAnsi="Times New Roman" w:eastAsia="Noto Sans CJK SC"/>
          <w:b/>
          <w:sz w:val="30"/>
        </w:rPr>
        <w:t>（5.1）重要点位环境变化识别概率测试</w:t>
      </w:r>
    </w:p>
    <w:p w14:paraId="7802E34E">
      <w:pPr>
        <w:spacing w:before="80" w:after="80" w:line="288" w:lineRule="auto"/>
        <w:jc w:val="left"/>
      </w:pPr>
      <w:r>
        <w:rPr>
          <w:rFonts w:ascii="Times New Roman" w:hAnsi="Times New Roman" w:eastAsia="Noto Sans CJK SC"/>
          <w:b/>
          <w:sz w:val="26"/>
        </w:rPr>
        <w:t>1. 测试目的</w:t>
      </w:r>
    </w:p>
    <w:p w14:paraId="1002FC04">
      <w:pPr>
        <w:spacing w:before="0" w:after="0" w:line="360" w:lineRule="auto"/>
        <w:ind w:firstLine="420"/>
      </w:pPr>
      <w:r>
        <w:rPr>
          <w:rFonts w:ascii="Times New Roman" w:hAnsi="Times New Roman" w:eastAsia="Noto Serif CJK SC"/>
          <w:b w:val="0"/>
          <w:sz w:val="24"/>
        </w:rPr>
        <w:t>为验证火情识别算法在环境条件变化下的稳定性，项目组开展了重要点位环境变化识别概率专项测试。测试主要考察光照、背景、烟雾状态、拍摄距离和拍摄角度等条件发生变化时，系统能否稳定输出火情判断。</w:t>
      </w:r>
    </w:p>
    <w:p w14:paraId="787EDB2B">
      <w:pPr>
        <w:spacing w:before="80" w:after="80" w:line="288" w:lineRule="auto"/>
        <w:jc w:val="left"/>
      </w:pPr>
      <w:r>
        <w:rPr>
          <w:rFonts w:ascii="Times New Roman" w:hAnsi="Times New Roman" w:eastAsia="Noto Sans CJK SC"/>
          <w:b/>
          <w:sz w:val="26"/>
        </w:rPr>
        <w:t>2. 测试方法</w:t>
      </w:r>
    </w:p>
    <w:p w14:paraId="3837D696">
      <w:pPr>
        <w:spacing w:before="0" w:after="0" w:line="360" w:lineRule="auto"/>
        <w:ind w:firstLine="420"/>
      </w:pPr>
      <w:r>
        <w:rPr>
          <w:rFonts w:ascii="Times New Roman" w:hAnsi="Times New Roman" w:eastAsia="Noto Serif CJK SC"/>
          <w:b w:val="0"/>
          <w:sz w:val="24"/>
        </w:rPr>
        <w:t>测试过程中，系统逐一处理输入样本，并将识别结果写入结构化结果文件。统计程序以系统最终火情判断作为样本识别成功的主要依据：系统输出火情判断时记为识别成功，未输出火情判断时记为识别失败。</w:t>
      </w:r>
    </w:p>
    <w:p w14:paraId="7F8A4B02">
      <w:pPr>
        <w:spacing w:before="0" w:after="0" w:line="360" w:lineRule="auto"/>
        <w:ind w:firstLine="420"/>
      </w:pPr>
      <w:r>
        <w:rPr>
          <w:rFonts w:ascii="Times New Roman" w:hAnsi="Times New Roman" w:eastAsia="Noto Serif CJK SC"/>
          <w:b w:val="0"/>
          <w:sz w:val="24"/>
        </w:rPr>
        <w:t>设有效样本总数为</w:t>
      </w:r>
      <m:oMath>
        <m:r>
          <m:rPr/>
          <w:rPr>
            <w:rFonts w:hint="default" w:ascii="Cambria Math" w:hAnsi="Cambria Math"/>
            <w:sz w:val="24"/>
          </w:rPr>
          <m:t>n</m:t>
        </m:r>
      </m:oMath>
      <w:r>
        <w:rPr>
          <w:rFonts w:ascii="Times New Roman" w:hAnsi="Times New Roman" w:eastAsia="Noto Serif CJK SC"/>
          <w:b w:val="0"/>
          <w:sz w:val="24"/>
        </w:rPr>
        <w:t>，识别成功样本数为</w:t>
      </w:r>
      <m:oMath>
        <m:r>
          <m:rPr/>
          <w:rPr>
            <w:rFonts w:hint="default" w:ascii="Cambria Math" w:hAnsi="Cambria Math"/>
            <w:sz w:val="24"/>
          </w:rPr>
          <m:t>x</m:t>
        </m:r>
      </m:oMath>
      <w:r>
        <w:rPr>
          <w:rFonts w:ascii="Times New Roman" w:hAnsi="Times New Roman" w:eastAsia="Noto Serif CJK SC"/>
          <w:b w:val="0"/>
          <w:sz w:val="24"/>
        </w:rPr>
        <w:t>，样本识别概率为：</w:t>
      </w:r>
    </w:p>
    <w:p w14:paraId="0C30B35C">
      <w:pPr>
        <w:spacing w:before="60" w:after="60"/>
        <w:jc w:val="center"/>
      </w:pPr>
      <m:oMathPara>
        <m:oMath>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x</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oMath>
      </m:oMathPara>
    </w:p>
    <w:p w14:paraId="3B8AABA2">
      <w:pPr>
        <w:spacing w:before="0" w:after="0" w:line="360" w:lineRule="auto"/>
        <w:ind w:firstLine="420"/>
      </w:pPr>
      <w:r>
        <w:rPr>
          <w:rFonts w:ascii="Times New Roman" w:hAnsi="Times New Roman" w:eastAsia="Noto Serif CJK SC"/>
          <w:b w:val="0"/>
          <w:sz w:val="24"/>
        </w:rPr>
        <w:t>考虑到测试样本数量有限，为避免仅依据样本点估计作出过度乐观判断，本次测试同时采用Wilson方法计算识别概率的95%置信下界：</w:t>
      </w:r>
    </w:p>
    <w:p w14:paraId="342BEC61">
      <w:pPr>
        <w:spacing w:before="60" w:after="60"/>
        <w:jc w:val="center"/>
      </w:pPr>
      <m:oMathPara>
        <m:oMath>
          <m:r>
            <m:rPr/>
            <w:rPr>
              <w:rFonts w:hint="default" w:ascii="Cambria Math" w:hAnsi="Cambria Math"/>
              <w:sz w:val="24"/>
            </w:rPr>
            <m:t>LB=</m:t>
          </m:r>
          <m:f>
            <m:fPr>
              <m:ctrlPr>
                <w:rPr>
                  <w:rFonts w:hint="default" w:ascii="Cambria Math" w:hAnsi="Cambria Math"/>
                  <w:sz w:val="24"/>
                </w:rPr>
              </m:ctrlPr>
            </m:fPr>
            <m:num>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f>
                <m:fPr>
                  <m:ctrlPr>
                    <w:rPr>
                      <w:rFonts w:hint="default" w:ascii="Cambria Math" w:hAnsi="Cambria Math"/>
                      <w:sz w:val="24"/>
                    </w:rPr>
                  </m:ctrlPr>
                </m:fPr>
                <m:num>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2n</m:t>
                  </m:r>
                  <m:ctrlPr>
                    <w:rPr>
                      <w:rFonts w:hint="default" w:ascii="Cambria Math" w:hAnsi="Cambria Math"/>
                      <w:sz w:val="24"/>
                    </w:rPr>
                  </m:ctrlPr>
                </m:den>
              </m:f>
              <m:r>
                <m:rPr/>
                <w:rPr>
                  <w:rFonts w:hint="default" w:ascii="Cambria Math" w:hAnsi="Cambria Math"/>
                  <w:sz w:val="24"/>
                </w:rPr>
                <m:t>−z</m:t>
              </m:r>
              <m:rad>
                <m:radPr>
                  <m:degHide m:val="1"/>
                  <m:ctrlPr>
                    <w:rPr>
                      <w:rFonts w:hint="default" w:ascii="Cambria Math" w:hAnsi="Cambria Math"/>
                      <w:sz w:val="24"/>
                    </w:rPr>
                  </m:ctrlPr>
                </m:radPr>
                <m:deg>
                  <m:ctrlPr>
                    <w:rPr>
                      <w:rFonts w:hint="default" w:ascii="Cambria Math" w:hAnsi="Cambria Math"/>
                      <w:sz w:val="24"/>
                    </w:rPr>
                  </m:ctrlPr>
                </m:deg>
                <m:e>
                  <m:f>
                    <m:fPr>
                      <m:ctrlPr>
                        <w:rPr>
                          <w:rFonts w:hint="default" w:ascii="Cambria Math" w:hAnsi="Cambria Math"/>
                          <w:sz w:val="24"/>
                        </w:rPr>
                      </m:ctrlPr>
                    </m:fPr>
                    <m:num>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r>
                        <m:rPr/>
                        <w:rPr>
                          <w:rFonts w:hint="default" w:ascii="Cambria Math" w:hAnsi="Cambria Math"/>
                          <w:sz w:val="24"/>
                        </w:rPr>
                        <m:t>(1−</m:t>
                      </m:r>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ctrlPr>
                        <w:rPr>
                          <w:rFonts w:hint="default" w:ascii="Cambria Math" w:hAnsi="Cambria Math"/>
                          <w:sz w:val="24"/>
                        </w:rPr>
                      </m:ctrlPr>
                    </m:num>
                    <m:den>
                      <m:r>
                        <m:rPr/>
                        <w:rPr>
                          <w:rFonts w:hint="default" w:ascii="Cambria Math" w:hAnsi="Cambria Math"/>
                          <w:sz w:val="24"/>
                        </w:rPr>
                        <m:t>n</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4</m:t>
                      </m:r>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ctrlPr>
                    <w:rPr>
                      <w:rFonts w:hint="default" w:ascii="Cambria Math" w:hAnsi="Cambria Math"/>
                      <w:sz w:val="24"/>
                    </w:rPr>
                  </m:ctrlPr>
                </m:e>
              </m:rad>
              <m:ctrlPr>
                <w:rPr>
                  <w:rFonts w:hint="default" w:ascii="Cambria Math" w:hAnsi="Cambria Math"/>
                  <w:sz w:val="24"/>
                </w:rPr>
              </m:ctrlPr>
            </m:num>
            <m:den>
              <m:r>
                <m:rPr/>
                <w:rPr>
                  <w:rFonts w:hint="default" w:ascii="Cambria Math" w:hAnsi="Cambria Math"/>
                  <w:sz w:val="24"/>
                </w:rPr>
                <m:t>1+</m:t>
              </m:r>
              <m:f>
                <m:fPr>
                  <m:ctrlPr>
                    <w:rPr>
                      <w:rFonts w:hint="default" w:ascii="Cambria Math" w:hAnsi="Cambria Math"/>
                      <w:sz w:val="24"/>
                    </w:rPr>
                  </m:ctrlPr>
                </m:fPr>
                <m:num>
                  <m:sSup>
                    <m:sSupPr>
                      <m:ctrlPr>
                        <w:rPr>
                          <w:rFonts w:hint="default" w:ascii="Cambria Math" w:hAnsi="Cambria Math"/>
                          <w:sz w:val="24"/>
                        </w:rPr>
                      </m:ctrlPr>
                    </m:sSupPr>
                    <m:e>
                      <m:r>
                        <m:rPr/>
                        <w:rPr>
                          <w:rFonts w:hint="default" w:ascii="Cambria Math" w:hAnsi="Cambria Math"/>
                          <w:sz w:val="24"/>
                        </w:rPr>
                        <m:t>z</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num>
                <m:den>
                  <m:r>
                    <m:rPr/>
                    <w:rPr>
                      <w:rFonts w:hint="default" w:ascii="Cambria Math" w:hAnsi="Cambria Math"/>
                      <w:sz w:val="24"/>
                    </w:rPr>
                    <m:t>n</m:t>
                  </m:r>
                  <m:ctrlPr>
                    <w:rPr>
                      <w:rFonts w:hint="default" w:ascii="Cambria Math" w:hAnsi="Cambria Math"/>
                      <w:sz w:val="24"/>
                    </w:rPr>
                  </m:ctrlPr>
                </m:den>
              </m:f>
              <m:ctrlPr>
                <w:rPr>
                  <w:rFonts w:hint="default" w:ascii="Cambria Math" w:hAnsi="Cambria Math"/>
                  <w:sz w:val="24"/>
                </w:rPr>
              </m:ctrlPr>
            </m:den>
          </m:f>
        </m:oMath>
      </m:oMathPara>
    </w:p>
    <w:p w14:paraId="4C944F39">
      <w:pPr>
        <w:spacing w:before="0" w:after="0" w:line="360" w:lineRule="auto"/>
        <w:ind w:firstLine="420"/>
      </w:pPr>
      <w:r>
        <w:rPr>
          <w:rFonts w:ascii="Times New Roman" w:hAnsi="Times New Roman" w:eastAsia="Noto Serif CJK SC"/>
          <w:b w:val="0"/>
          <w:sz w:val="24"/>
        </w:rPr>
        <w:t>其中，</w:t>
      </w:r>
      <m:oMath>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x</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oMath>
      <w:r>
        <w:rPr>
          <w:rFonts w:ascii="Times New Roman" w:hAnsi="Times New Roman" w:eastAsia="Noto Serif CJK SC"/>
          <w:b w:val="0"/>
          <w:sz w:val="24"/>
        </w:rPr>
        <w:t>，</w:t>
      </w:r>
      <m:oMath>
        <m:r>
          <m:rPr/>
          <w:rPr>
            <w:rFonts w:hint="default" w:ascii="Cambria Math" w:hAnsi="Cambria Math"/>
            <w:sz w:val="24"/>
          </w:rPr>
          <m:t>z</m:t>
        </m:r>
      </m:oMath>
      <w:r>
        <w:rPr>
          <w:rFonts w:ascii="Times New Roman" w:hAnsi="Times New Roman" w:eastAsia="Noto Serif CJK SC"/>
          <w:b w:val="0"/>
          <w:sz w:val="24"/>
        </w:rPr>
        <w:t>=1.96，对应95%置信水平，</w:t>
      </w:r>
      <m:oMath>
        <m:r>
          <m:rPr/>
          <w:rPr>
            <w:rFonts w:hint="default" w:ascii="Cambria Math" w:hAnsi="Cambria Math"/>
            <w:sz w:val="24"/>
          </w:rPr>
          <m:t>LB</m:t>
        </m:r>
      </m:oMath>
      <w:r>
        <w:rPr>
          <w:rFonts w:ascii="Times New Roman" w:hAnsi="Times New Roman" w:eastAsia="Noto Serif CJK SC"/>
          <w:b w:val="0"/>
          <w:sz w:val="24"/>
        </w:rPr>
        <w:t>为识别概率的保守估计下界。</w:t>
      </w:r>
    </w:p>
    <w:p w14:paraId="3808A40F">
      <w:pPr>
        <w:spacing w:before="80" w:after="80" w:line="288" w:lineRule="auto"/>
        <w:jc w:val="left"/>
      </w:pPr>
      <w:r>
        <w:rPr>
          <w:rFonts w:ascii="Times New Roman" w:hAnsi="Times New Roman" w:eastAsia="Noto Sans CJK SC"/>
          <w:b/>
          <w:sz w:val="26"/>
        </w:rPr>
        <w:t>3. 测试结果</w:t>
      </w:r>
    </w:p>
    <w:p w14:paraId="47600405">
      <w:pPr>
        <w:spacing w:before="0" w:after="0" w:line="360" w:lineRule="auto"/>
        <w:ind w:firstLine="420"/>
      </w:pPr>
      <w:r>
        <w:rPr>
          <w:rFonts w:ascii="Times New Roman" w:hAnsi="Times New Roman" w:eastAsia="Noto Serif CJK SC"/>
          <w:b w:val="0"/>
          <w:sz w:val="24"/>
        </w:rPr>
        <w:t>本次测试共</w:t>
      </w:r>
      <w:r>
        <w:rPr>
          <w:rFonts w:hint="eastAsia"/>
          <w:b w:val="0"/>
          <w:sz w:val="24"/>
          <w:lang w:val="en-US" w:eastAsia="zh-CN"/>
        </w:rPr>
        <w:t>采用</w:t>
      </w:r>
      <w:r>
        <w:rPr>
          <w:rFonts w:ascii="Times New Roman" w:hAnsi="Times New Roman" w:eastAsia="Noto Serif CJK SC"/>
          <w:b w:val="0"/>
          <w:sz w:val="24"/>
        </w:rPr>
        <w:t>67条有效样本记录，67条样本均被系统成功识别，即</w:t>
      </w:r>
      <m:oMath>
        <m:r>
          <m:rPr/>
          <w:rPr>
            <w:rFonts w:hint="default" w:ascii="Cambria Math" w:hAnsi="Cambria Math"/>
            <w:sz w:val="24"/>
          </w:rPr>
          <m:t>n</m:t>
        </m:r>
      </m:oMath>
      <w:r>
        <w:rPr>
          <w:rFonts w:ascii="Times New Roman" w:hAnsi="Times New Roman" w:eastAsia="Noto Serif CJK SC"/>
          <w:b w:val="0"/>
          <w:sz w:val="24"/>
        </w:rPr>
        <w:t>=67、</w:t>
      </w:r>
      <m:oMath>
        <m:r>
          <m:rPr/>
          <w:rPr>
            <w:rFonts w:hint="default" w:ascii="Cambria Math" w:hAnsi="Cambria Math"/>
            <w:sz w:val="24"/>
          </w:rPr>
          <m:t>x</m:t>
        </m:r>
      </m:oMath>
      <w:r>
        <w:rPr>
          <w:rFonts w:ascii="Times New Roman" w:hAnsi="Times New Roman" w:eastAsia="Noto Serif CJK SC"/>
          <w:b w:val="0"/>
          <w:sz w:val="24"/>
        </w:rPr>
        <w:t>=67、</w:t>
      </w:r>
      <m:oMath>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oMath>
      <w:r>
        <w:rPr>
          <w:rFonts w:ascii="Times New Roman" w:hAnsi="Times New Roman" w:eastAsia="Noto Serif CJK SC"/>
          <w:b w:val="0"/>
          <w:sz w:val="24"/>
        </w:rPr>
        <w:t>=1。经计算，Wilson95%置信下界约为94.58%。</w:t>
      </w:r>
    </w:p>
    <w:tbl>
      <w:tblPr>
        <w:tblStyle w:val="33"/>
        <w:tblW w:w="94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05"/>
        <w:gridCol w:w="2014"/>
        <w:gridCol w:w="2014"/>
        <w:gridCol w:w="1171"/>
      </w:tblGrid>
      <w:tr w14:paraId="61D188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205"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3587F0ED">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测试项目</w:t>
            </w:r>
          </w:p>
        </w:tc>
        <w:tc>
          <w:tcPr>
            <w:tcW w:w="2014"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314B3D01">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测试结果</w:t>
            </w:r>
          </w:p>
        </w:tc>
        <w:tc>
          <w:tcPr>
            <w:tcW w:w="2014"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5E82E747">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指标要求</w:t>
            </w:r>
          </w:p>
        </w:tc>
        <w:tc>
          <w:tcPr>
            <w:tcW w:w="1171"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56750A96">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判定</w:t>
            </w:r>
          </w:p>
        </w:tc>
      </w:tr>
      <w:tr w14:paraId="2D78BF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5" w:type="dxa"/>
            <w:tcBorders>
              <w:top w:val="single" w:color="auto" w:sz="4" w:space="0"/>
              <w:left w:val="nil"/>
              <w:bottom w:val="nil"/>
              <w:right w:val="nil"/>
            </w:tcBorders>
            <w:noWrap w:val="0"/>
            <w:tcMar>
              <w:top w:w="80" w:type="dxa"/>
              <w:left w:w="80" w:type="dxa"/>
              <w:bottom w:w="80" w:type="dxa"/>
              <w:right w:w="80" w:type="dxa"/>
            </w:tcMar>
            <w:vAlign w:val="center"/>
          </w:tcPr>
          <w:p w14:paraId="373A5F40">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有效样本数量</w:t>
            </w:r>
          </w:p>
        </w:tc>
        <w:tc>
          <w:tcPr>
            <w:tcW w:w="2014" w:type="dxa"/>
            <w:tcBorders>
              <w:top w:val="single" w:color="auto" w:sz="4" w:space="0"/>
              <w:left w:val="nil"/>
              <w:bottom w:val="nil"/>
              <w:right w:val="nil"/>
            </w:tcBorders>
            <w:noWrap w:val="0"/>
            <w:tcMar>
              <w:top w:w="80" w:type="dxa"/>
              <w:left w:w="80" w:type="dxa"/>
              <w:bottom w:w="80" w:type="dxa"/>
              <w:right w:w="80" w:type="dxa"/>
            </w:tcMar>
            <w:vAlign w:val="center"/>
          </w:tcPr>
          <w:p w14:paraId="16C15F59">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67条</w:t>
            </w:r>
          </w:p>
        </w:tc>
        <w:tc>
          <w:tcPr>
            <w:tcW w:w="2014" w:type="dxa"/>
            <w:tcBorders>
              <w:top w:val="single" w:color="auto" w:sz="4" w:space="0"/>
              <w:left w:val="nil"/>
              <w:bottom w:val="nil"/>
              <w:right w:val="nil"/>
            </w:tcBorders>
            <w:noWrap w:val="0"/>
            <w:tcMar>
              <w:top w:w="80" w:type="dxa"/>
              <w:left w:w="80" w:type="dxa"/>
              <w:bottom w:w="80" w:type="dxa"/>
              <w:right w:w="80" w:type="dxa"/>
            </w:tcMar>
            <w:vAlign w:val="center"/>
          </w:tcPr>
          <w:p w14:paraId="3C9D07E4">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w:t>
            </w:r>
          </w:p>
        </w:tc>
        <w:tc>
          <w:tcPr>
            <w:tcW w:w="1171" w:type="dxa"/>
            <w:tcBorders>
              <w:top w:val="single" w:color="auto" w:sz="4" w:space="0"/>
              <w:left w:val="nil"/>
              <w:bottom w:val="nil"/>
              <w:right w:val="nil"/>
            </w:tcBorders>
            <w:noWrap w:val="0"/>
            <w:tcMar>
              <w:top w:w="80" w:type="dxa"/>
              <w:left w:w="80" w:type="dxa"/>
              <w:bottom w:w="80" w:type="dxa"/>
              <w:right w:w="80" w:type="dxa"/>
            </w:tcMar>
            <w:vAlign w:val="center"/>
          </w:tcPr>
          <w:p w14:paraId="45191A0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w:t>
            </w:r>
          </w:p>
        </w:tc>
      </w:tr>
      <w:tr w14:paraId="07DA39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5" w:type="dxa"/>
            <w:tcBorders>
              <w:top w:val="nil"/>
              <w:left w:val="nil"/>
              <w:bottom w:val="nil"/>
              <w:right w:val="nil"/>
            </w:tcBorders>
            <w:noWrap w:val="0"/>
            <w:tcMar>
              <w:top w:w="80" w:type="dxa"/>
              <w:left w:w="80" w:type="dxa"/>
              <w:bottom w:w="80" w:type="dxa"/>
              <w:right w:w="80" w:type="dxa"/>
            </w:tcMar>
            <w:vAlign w:val="center"/>
          </w:tcPr>
          <w:p w14:paraId="23929D9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识别成功数量</w:t>
            </w:r>
          </w:p>
        </w:tc>
        <w:tc>
          <w:tcPr>
            <w:tcW w:w="2014" w:type="dxa"/>
            <w:tcBorders>
              <w:top w:val="nil"/>
              <w:left w:val="nil"/>
              <w:bottom w:val="nil"/>
              <w:right w:val="nil"/>
            </w:tcBorders>
            <w:noWrap w:val="0"/>
            <w:tcMar>
              <w:top w:w="80" w:type="dxa"/>
              <w:left w:w="80" w:type="dxa"/>
              <w:bottom w:w="80" w:type="dxa"/>
              <w:right w:w="80" w:type="dxa"/>
            </w:tcMar>
            <w:vAlign w:val="center"/>
          </w:tcPr>
          <w:p w14:paraId="37CC4A5F">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67</w:t>
            </w:r>
            <w:bookmarkStart w:id="0" w:name="_GoBack"/>
            <w:bookmarkEnd w:id="0"/>
            <w:r>
              <w:rPr>
                <w:rFonts w:ascii="Times New Roman" w:hAnsi="Times New Roman" w:eastAsia="Noto Serif CJK SC"/>
                <w:b w:val="0"/>
                <w:sz w:val="21"/>
              </w:rPr>
              <w:t>条</w:t>
            </w:r>
          </w:p>
        </w:tc>
        <w:tc>
          <w:tcPr>
            <w:tcW w:w="2014" w:type="dxa"/>
            <w:tcBorders>
              <w:top w:val="nil"/>
              <w:left w:val="nil"/>
              <w:bottom w:val="nil"/>
              <w:right w:val="nil"/>
            </w:tcBorders>
            <w:noWrap w:val="0"/>
            <w:tcMar>
              <w:top w:w="80" w:type="dxa"/>
              <w:left w:w="80" w:type="dxa"/>
              <w:bottom w:w="80" w:type="dxa"/>
              <w:right w:w="80" w:type="dxa"/>
            </w:tcMar>
            <w:vAlign w:val="center"/>
          </w:tcPr>
          <w:p w14:paraId="5FA69E4E">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w:t>
            </w:r>
          </w:p>
        </w:tc>
        <w:tc>
          <w:tcPr>
            <w:tcW w:w="1171" w:type="dxa"/>
            <w:tcBorders>
              <w:top w:val="nil"/>
              <w:left w:val="nil"/>
              <w:bottom w:val="nil"/>
              <w:right w:val="nil"/>
            </w:tcBorders>
            <w:noWrap w:val="0"/>
            <w:tcMar>
              <w:top w:w="80" w:type="dxa"/>
              <w:left w:w="80" w:type="dxa"/>
              <w:bottom w:w="80" w:type="dxa"/>
              <w:right w:w="80" w:type="dxa"/>
            </w:tcMar>
            <w:vAlign w:val="center"/>
          </w:tcPr>
          <w:p w14:paraId="645569B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w:t>
            </w:r>
          </w:p>
        </w:tc>
      </w:tr>
      <w:tr w14:paraId="2CF80B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5" w:type="dxa"/>
            <w:tcBorders>
              <w:top w:val="nil"/>
              <w:left w:val="nil"/>
              <w:bottom w:val="nil"/>
              <w:right w:val="nil"/>
            </w:tcBorders>
            <w:noWrap w:val="0"/>
            <w:tcMar>
              <w:top w:w="80" w:type="dxa"/>
              <w:left w:w="80" w:type="dxa"/>
              <w:bottom w:w="80" w:type="dxa"/>
              <w:right w:w="80" w:type="dxa"/>
            </w:tcMar>
            <w:vAlign w:val="center"/>
          </w:tcPr>
          <w:p w14:paraId="419D7F9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总体识别概率</w:t>
            </w:r>
          </w:p>
        </w:tc>
        <w:tc>
          <w:tcPr>
            <w:tcW w:w="2014" w:type="dxa"/>
            <w:tcBorders>
              <w:top w:val="nil"/>
              <w:left w:val="nil"/>
              <w:bottom w:val="nil"/>
              <w:right w:val="nil"/>
            </w:tcBorders>
            <w:noWrap w:val="0"/>
            <w:tcMar>
              <w:top w:w="80" w:type="dxa"/>
              <w:left w:w="80" w:type="dxa"/>
              <w:bottom w:w="80" w:type="dxa"/>
              <w:right w:w="80" w:type="dxa"/>
            </w:tcMar>
            <w:vAlign w:val="center"/>
          </w:tcPr>
          <w:p w14:paraId="24D4D8D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100%</w:t>
            </w:r>
          </w:p>
        </w:tc>
        <w:tc>
          <w:tcPr>
            <w:tcW w:w="2014" w:type="dxa"/>
            <w:tcBorders>
              <w:top w:val="nil"/>
              <w:left w:val="nil"/>
              <w:bottom w:val="nil"/>
              <w:right w:val="nil"/>
            </w:tcBorders>
            <w:noWrap w:val="0"/>
            <w:tcMar>
              <w:top w:w="80" w:type="dxa"/>
              <w:left w:w="80" w:type="dxa"/>
              <w:bottom w:w="80" w:type="dxa"/>
              <w:right w:w="80" w:type="dxa"/>
            </w:tcMar>
            <w:vAlign w:val="center"/>
          </w:tcPr>
          <w:p w14:paraId="6142A253">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≥90%</w:t>
            </w:r>
          </w:p>
        </w:tc>
        <w:tc>
          <w:tcPr>
            <w:tcW w:w="1171" w:type="dxa"/>
            <w:tcBorders>
              <w:top w:val="nil"/>
              <w:left w:val="nil"/>
              <w:bottom w:val="nil"/>
              <w:right w:val="nil"/>
            </w:tcBorders>
            <w:noWrap w:val="0"/>
            <w:tcMar>
              <w:top w:w="80" w:type="dxa"/>
              <w:left w:w="80" w:type="dxa"/>
              <w:bottom w:w="80" w:type="dxa"/>
              <w:right w:w="80" w:type="dxa"/>
            </w:tcMar>
            <w:vAlign w:val="center"/>
          </w:tcPr>
          <w:p w14:paraId="56860914">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通过</w:t>
            </w:r>
          </w:p>
        </w:tc>
      </w:tr>
      <w:tr w14:paraId="45EACC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5" w:type="dxa"/>
            <w:tcBorders>
              <w:top w:val="nil"/>
              <w:left w:val="nil"/>
              <w:bottom w:val="single" w:color="auto" w:sz="12" w:space="0"/>
              <w:right w:val="nil"/>
            </w:tcBorders>
            <w:noWrap w:val="0"/>
            <w:tcMar>
              <w:top w:w="80" w:type="dxa"/>
              <w:left w:w="80" w:type="dxa"/>
              <w:bottom w:w="80" w:type="dxa"/>
              <w:right w:w="80" w:type="dxa"/>
            </w:tcMar>
            <w:vAlign w:val="center"/>
          </w:tcPr>
          <w:p w14:paraId="32293CC6">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Wilson95%置信下界</w:t>
            </w:r>
          </w:p>
        </w:tc>
        <w:tc>
          <w:tcPr>
            <w:tcW w:w="2014" w:type="dxa"/>
            <w:tcBorders>
              <w:top w:val="nil"/>
              <w:left w:val="nil"/>
              <w:bottom w:val="single" w:color="auto" w:sz="12" w:space="0"/>
              <w:right w:val="nil"/>
            </w:tcBorders>
            <w:noWrap w:val="0"/>
            <w:tcMar>
              <w:top w:w="80" w:type="dxa"/>
              <w:left w:w="80" w:type="dxa"/>
              <w:bottom w:w="80" w:type="dxa"/>
              <w:right w:w="80" w:type="dxa"/>
            </w:tcMar>
            <w:vAlign w:val="center"/>
          </w:tcPr>
          <w:p w14:paraId="5010C530">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94.58%</w:t>
            </w:r>
          </w:p>
        </w:tc>
        <w:tc>
          <w:tcPr>
            <w:tcW w:w="2014" w:type="dxa"/>
            <w:tcBorders>
              <w:top w:val="nil"/>
              <w:left w:val="nil"/>
              <w:bottom w:val="single" w:color="auto" w:sz="12" w:space="0"/>
              <w:right w:val="nil"/>
            </w:tcBorders>
            <w:noWrap w:val="0"/>
            <w:tcMar>
              <w:top w:w="80" w:type="dxa"/>
              <w:left w:w="80" w:type="dxa"/>
              <w:bottom w:w="80" w:type="dxa"/>
              <w:right w:w="80" w:type="dxa"/>
            </w:tcMar>
            <w:vAlign w:val="center"/>
          </w:tcPr>
          <w:p w14:paraId="67B46283">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≥90%</w:t>
            </w:r>
          </w:p>
        </w:tc>
        <w:tc>
          <w:tcPr>
            <w:tcW w:w="1171" w:type="dxa"/>
            <w:tcBorders>
              <w:top w:val="nil"/>
              <w:left w:val="nil"/>
              <w:bottom w:val="single" w:color="auto" w:sz="12" w:space="0"/>
              <w:right w:val="nil"/>
            </w:tcBorders>
            <w:noWrap w:val="0"/>
            <w:tcMar>
              <w:top w:w="80" w:type="dxa"/>
              <w:left w:w="80" w:type="dxa"/>
              <w:bottom w:w="80" w:type="dxa"/>
              <w:right w:w="80" w:type="dxa"/>
            </w:tcMar>
            <w:vAlign w:val="center"/>
          </w:tcPr>
          <w:p w14:paraId="02D6C309">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通过</w:t>
            </w:r>
          </w:p>
        </w:tc>
      </w:tr>
    </w:tbl>
    <w:p w14:paraId="69188908">
      <w:pPr>
        <w:spacing w:after="0"/>
      </w:pPr>
    </w:p>
    <w:p w14:paraId="77F07652">
      <w:pPr>
        <w:spacing w:before="0" w:after="0" w:line="360" w:lineRule="auto"/>
        <w:ind w:firstLine="420"/>
      </w:pPr>
      <w:r>
        <w:rPr>
          <w:rFonts w:ascii="Times New Roman" w:hAnsi="Times New Roman" w:eastAsia="Noto Serif CJK SC"/>
          <w:b w:val="0"/>
          <w:sz w:val="24"/>
        </w:rPr>
        <w:t>测试结果表明，在本次测试样本、模型版本及统计口径下，重要点位环境变化识别概率为100%，Wilson95%置信下界仍高于90%的指标阈值，故该项内部专项测试判定为通过。</w:t>
      </w:r>
    </w:p>
    <w:p w14:paraId="5561449B">
      <w:pPr>
        <w:spacing w:before="80" w:after="80" w:line="288" w:lineRule="auto"/>
        <w:jc w:val="left"/>
      </w:pPr>
      <w:r>
        <w:rPr>
          <w:rFonts w:ascii="Times New Roman" w:hAnsi="Times New Roman" w:eastAsia="Noto Sans CJK SC"/>
          <w:b/>
          <w:sz w:val="26"/>
        </w:rPr>
        <w:t>4. 测试前提与结果边界</w:t>
      </w:r>
    </w:p>
    <w:p w14:paraId="1D6C3DC7">
      <w:pPr>
        <w:spacing w:before="0" w:after="0" w:line="360" w:lineRule="auto"/>
        <w:ind w:firstLine="420"/>
      </w:pPr>
      <w:r>
        <w:rPr>
          <w:rFonts w:ascii="Times New Roman" w:hAnsi="Times New Roman" w:eastAsia="Noto Serif CJK SC"/>
          <w:b w:val="0"/>
          <w:sz w:val="24"/>
        </w:rPr>
        <w:t>本次测试属于离线内部专项测试。现有结果文件主要使用样本或场景编号区分记录，但样本编号与实际固定点位、环境类型、原始文件名、采集时间及拍摄条件之间的映射关系尚需进一步规范。当前结果能够反映本次67条环境变化火情样本的稳定检出情况，但不能替代无火背景和复杂干扰条件下的虚警率测试。后续宜结合甲方无人机固定航线和固定点位数据，补充跨天气、跨时段、跨距离及跨视角的连续现场测试。</w:t>
      </w:r>
    </w:p>
    <w:p w14:paraId="422F0E0C">
      <w:pPr>
        <w:spacing w:before="160" w:after="80" w:line="288" w:lineRule="auto"/>
        <w:jc w:val="left"/>
      </w:pPr>
      <w:r>
        <w:rPr>
          <w:rFonts w:ascii="Times New Roman" w:hAnsi="Times New Roman" w:eastAsia="Noto Sans CJK SC"/>
          <w:b/>
          <w:sz w:val="30"/>
        </w:rPr>
        <w:t>（5.2）火情检测算法运行速度测试</w:t>
      </w:r>
    </w:p>
    <w:p w14:paraId="737C4289">
      <w:pPr>
        <w:spacing w:before="80" w:after="80" w:line="288" w:lineRule="auto"/>
        <w:jc w:val="left"/>
      </w:pPr>
      <w:r>
        <w:rPr>
          <w:rFonts w:ascii="Times New Roman" w:hAnsi="Times New Roman" w:eastAsia="Noto Sans CJK SC"/>
          <w:b/>
          <w:sz w:val="26"/>
        </w:rPr>
        <w:t>1. 测试目的</w:t>
      </w:r>
    </w:p>
    <w:p w14:paraId="057B60EC">
      <w:pPr>
        <w:spacing w:before="0" w:after="0" w:line="360" w:lineRule="auto"/>
        <w:ind w:firstLine="420"/>
      </w:pPr>
      <w:r>
        <w:rPr>
          <w:rFonts w:ascii="Times New Roman" w:hAnsi="Times New Roman" w:eastAsia="Noto Serif CJK SC"/>
          <w:b w:val="0"/>
          <w:sz w:val="24"/>
        </w:rPr>
        <w:t>为验证火情检测算法能否满足不低于50FPS的实时处理要求，项目组分别开展了图片处理、视频处理和核心检测算法处理速度三类专项测试。</w:t>
      </w:r>
    </w:p>
    <w:p w14:paraId="2D4AE7A3">
      <w:pPr>
        <w:spacing w:before="80" w:after="80" w:line="288" w:lineRule="auto"/>
        <w:jc w:val="left"/>
      </w:pPr>
      <w:r>
        <w:rPr>
          <w:rFonts w:ascii="Times New Roman" w:hAnsi="Times New Roman" w:eastAsia="Noto Sans CJK SC"/>
          <w:b/>
          <w:sz w:val="26"/>
        </w:rPr>
        <w:t>2. 测试环境</w:t>
      </w:r>
    </w:p>
    <w:p w14:paraId="43205CA1">
      <w:pPr>
        <w:spacing w:before="0" w:after="0" w:line="360" w:lineRule="auto"/>
        <w:ind w:firstLine="420"/>
      </w:pPr>
      <w:r>
        <w:rPr>
          <w:rFonts w:ascii="Times New Roman" w:hAnsi="Times New Roman" w:eastAsia="Noto Serif CJK SC"/>
          <w:b w:val="0"/>
          <w:sz w:val="24"/>
        </w:rPr>
        <w:t>测试在配备 NVIDIA GeForce RTX 4090 GPU 的云端服务器上完成，服务器软件环境如下：</w:t>
      </w:r>
    </w:p>
    <w:tbl>
      <w:tblPr>
        <w:tblStyle w:val="33"/>
        <w:tblW w:w="94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01"/>
        <w:gridCol w:w="5203"/>
      </w:tblGrid>
      <w:tr w14:paraId="52303F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201"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053EE28E">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环境项目</w:t>
            </w:r>
          </w:p>
        </w:tc>
        <w:tc>
          <w:tcPr>
            <w:tcW w:w="5203"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07D0E22C">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配置信息</w:t>
            </w:r>
          </w:p>
        </w:tc>
      </w:tr>
      <w:tr w14:paraId="538EE4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single" w:color="auto" w:sz="4" w:space="0"/>
              <w:left w:val="nil"/>
              <w:bottom w:val="nil"/>
              <w:right w:val="nil"/>
            </w:tcBorders>
            <w:noWrap w:val="0"/>
            <w:tcMar>
              <w:top w:w="80" w:type="dxa"/>
              <w:left w:w="80" w:type="dxa"/>
              <w:bottom w:w="80" w:type="dxa"/>
              <w:right w:w="80" w:type="dxa"/>
            </w:tcMar>
            <w:vAlign w:val="center"/>
          </w:tcPr>
          <w:p w14:paraId="6166FB7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GPU</w:t>
            </w:r>
          </w:p>
        </w:tc>
        <w:tc>
          <w:tcPr>
            <w:tcW w:w="5203" w:type="dxa"/>
            <w:tcBorders>
              <w:top w:val="single" w:color="auto" w:sz="4" w:space="0"/>
              <w:left w:val="nil"/>
              <w:bottom w:val="nil"/>
              <w:right w:val="nil"/>
            </w:tcBorders>
            <w:noWrap w:val="0"/>
            <w:tcMar>
              <w:top w:w="80" w:type="dxa"/>
              <w:left w:w="80" w:type="dxa"/>
              <w:bottom w:w="80" w:type="dxa"/>
              <w:right w:w="80" w:type="dxa"/>
            </w:tcMar>
            <w:vAlign w:val="center"/>
          </w:tcPr>
          <w:p w14:paraId="0743933C">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NVIDIA GeForce RTX 4090</w:t>
            </w:r>
          </w:p>
        </w:tc>
      </w:tr>
      <w:tr w14:paraId="408C55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16EB4155">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GPU 显存</w:t>
            </w:r>
          </w:p>
        </w:tc>
        <w:tc>
          <w:tcPr>
            <w:tcW w:w="5203" w:type="dxa"/>
            <w:tcBorders>
              <w:top w:val="nil"/>
              <w:left w:val="nil"/>
              <w:bottom w:val="nil"/>
              <w:right w:val="nil"/>
            </w:tcBorders>
            <w:noWrap w:val="0"/>
            <w:tcMar>
              <w:top w:w="80" w:type="dxa"/>
              <w:left w:w="80" w:type="dxa"/>
              <w:bottom w:w="80" w:type="dxa"/>
              <w:right w:w="80" w:type="dxa"/>
            </w:tcMar>
            <w:vAlign w:val="center"/>
          </w:tcPr>
          <w:p w14:paraId="399A1B19">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24564MB，约24GB</w:t>
            </w:r>
          </w:p>
        </w:tc>
      </w:tr>
      <w:tr w14:paraId="758683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20C735C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NVIDIA 驱动版本</w:t>
            </w:r>
          </w:p>
        </w:tc>
        <w:tc>
          <w:tcPr>
            <w:tcW w:w="5203" w:type="dxa"/>
            <w:tcBorders>
              <w:top w:val="nil"/>
              <w:left w:val="nil"/>
              <w:bottom w:val="nil"/>
              <w:right w:val="nil"/>
            </w:tcBorders>
            <w:noWrap w:val="0"/>
            <w:tcMar>
              <w:top w:w="80" w:type="dxa"/>
              <w:left w:w="80" w:type="dxa"/>
              <w:bottom w:w="80" w:type="dxa"/>
              <w:right w:w="80" w:type="dxa"/>
            </w:tcMar>
            <w:vAlign w:val="center"/>
          </w:tcPr>
          <w:p w14:paraId="0E76C6F0">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580.76.05</w:t>
            </w:r>
          </w:p>
        </w:tc>
      </w:tr>
      <w:tr w14:paraId="7CB67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37FEF61F">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驱动支持的最高 CUDA 版本</w:t>
            </w:r>
          </w:p>
        </w:tc>
        <w:tc>
          <w:tcPr>
            <w:tcW w:w="5203" w:type="dxa"/>
            <w:tcBorders>
              <w:top w:val="nil"/>
              <w:left w:val="nil"/>
              <w:bottom w:val="nil"/>
              <w:right w:val="nil"/>
            </w:tcBorders>
            <w:noWrap w:val="0"/>
            <w:tcMar>
              <w:top w:w="80" w:type="dxa"/>
              <w:left w:w="80" w:type="dxa"/>
              <w:bottom w:w="80" w:type="dxa"/>
              <w:right w:w="80" w:type="dxa"/>
            </w:tcMar>
            <w:vAlign w:val="center"/>
          </w:tcPr>
          <w:p w14:paraId="2430A32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13.0</w:t>
            </w:r>
          </w:p>
        </w:tc>
      </w:tr>
      <w:tr w14:paraId="08E5FF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5BCB163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Python 版本</w:t>
            </w:r>
          </w:p>
        </w:tc>
        <w:tc>
          <w:tcPr>
            <w:tcW w:w="5203" w:type="dxa"/>
            <w:tcBorders>
              <w:top w:val="nil"/>
              <w:left w:val="nil"/>
              <w:bottom w:val="nil"/>
              <w:right w:val="nil"/>
            </w:tcBorders>
            <w:noWrap w:val="0"/>
            <w:tcMar>
              <w:top w:w="80" w:type="dxa"/>
              <w:left w:w="80" w:type="dxa"/>
              <w:bottom w:w="80" w:type="dxa"/>
              <w:right w:w="80" w:type="dxa"/>
            </w:tcMar>
            <w:vAlign w:val="center"/>
          </w:tcPr>
          <w:p w14:paraId="52F6E9AB">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3.8.10</w:t>
            </w:r>
          </w:p>
        </w:tc>
      </w:tr>
      <w:tr w14:paraId="0EAF55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265D6BF3">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PyTorch 版本</w:t>
            </w:r>
          </w:p>
        </w:tc>
        <w:tc>
          <w:tcPr>
            <w:tcW w:w="5203" w:type="dxa"/>
            <w:tcBorders>
              <w:top w:val="nil"/>
              <w:left w:val="nil"/>
              <w:bottom w:val="nil"/>
              <w:right w:val="nil"/>
            </w:tcBorders>
            <w:noWrap w:val="0"/>
            <w:tcMar>
              <w:top w:w="80" w:type="dxa"/>
              <w:left w:w="80" w:type="dxa"/>
              <w:bottom w:w="80" w:type="dxa"/>
              <w:right w:w="80" w:type="dxa"/>
            </w:tcMar>
            <w:vAlign w:val="center"/>
          </w:tcPr>
          <w:p w14:paraId="1507BB40">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1.10.0+cu113</w:t>
            </w:r>
          </w:p>
        </w:tc>
      </w:tr>
      <w:tr w14:paraId="78E5E1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794CA68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PyTorch 实际CUDA Runtime</w:t>
            </w:r>
          </w:p>
        </w:tc>
        <w:tc>
          <w:tcPr>
            <w:tcW w:w="5203" w:type="dxa"/>
            <w:tcBorders>
              <w:top w:val="nil"/>
              <w:left w:val="nil"/>
              <w:bottom w:val="nil"/>
              <w:right w:val="nil"/>
            </w:tcBorders>
            <w:noWrap w:val="0"/>
            <w:tcMar>
              <w:top w:w="80" w:type="dxa"/>
              <w:left w:w="80" w:type="dxa"/>
              <w:bottom w:w="80" w:type="dxa"/>
              <w:right w:w="80" w:type="dxa"/>
            </w:tcMar>
            <w:vAlign w:val="center"/>
          </w:tcPr>
          <w:p w14:paraId="33271C24">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11.3</w:t>
            </w:r>
          </w:p>
        </w:tc>
      </w:tr>
      <w:tr w14:paraId="472C93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nil"/>
              <w:right w:val="nil"/>
            </w:tcBorders>
            <w:noWrap w:val="0"/>
            <w:tcMar>
              <w:top w:w="80" w:type="dxa"/>
              <w:left w:w="80" w:type="dxa"/>
              <w:bottom w:w="80" w:type="dxa"/>
              <w:right w:w="80" w:type="dxa"/>
            </w:tcMar>
            <w:vAlign w:val="center"/>
          </w:tcPr>
          <w:p w14:paraId="2F4BA80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OpenCV版本</w:t>
            </w:r>
          </w:p>
        </w:tc>
        <w:tc>
          <w:tcPr>
            <w:tcW w:w="5203" w:type="dxa"/>
            <w:tcBorders>
              <w:top w:val="nil"/>
              <w:left w:val="nil"/>
              <w:bottom w:val="nil"/>
              <w:right w:val="nil"/>
            </w:tcBorders>
            <w:noWrap w:val="0"/>
            <w:tcMar>
              <w:top w:w="80" w:type="dxa"/>
              <w:left w:w="80" w:type="dxa"/>
              <w:bottom w:w="80" w:type="dxa"/>
              <w:right w:w="80" w:type="dxa"/>
            </w:tcMar>
            <w:vAlign w:val="center"/>
          </w:tcPr>
          <w:p w14:paraId="5B30C31A">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4.9.0</w:t>
            </w:r>
          </w:p>
        </w:tc>
      </w:tr>
      <w:tr w14:paraId="7D1A15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201" w:type="dxa"/>
            <w:tcBorders>
              <w:top w:val="nil"/>
              <w:left w:val="nil"/>
              <w:bottom w:val="single" w:color="auto" w:sz="12" w:space="0"/>
              <w:right w:val="nil"/>
            </w:tcBorders>
            <w:noWrap w:val="0"/>
            <w:tcMar>
              <w:top w:w="80" w:type="dxa"/>
              <w:left w:w="80" w:type="dxa"/>
              <w:bottom w:w="80" w:type="dxa"/>
              <w:right w:w="80" w:type="dxa"/>
            </w:tcMar>
            <w:vAlign w:val="center"/>
          </w:tcPr>
          <w:p w14:paraId="00334D6B">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推理精度</w:t>
            </w:r>
          </w:p>
        </w:tc>
        <w:tc>
          <w:tcPr>
            <w:tcW w:w="5203" w:type="dxa"/>
            <w:tcBorders>
              <w:top w:val="nil"/>
              <w:left w:val="nil"/>
              <w:bottom w:val="single" w:color="auto" w:sz="12" w:space="0"/>
              <w:right w:val="nil"/>
            </w:tcBorders>
            <w:noWrap w:val="0"/>
            <w:tcMar>
              <w:top w:w="80" w:type="dxa"/>
              <w:left w:w="80" w:type="dxa"/>
              <w:bottom w:w="80" w:type="dxa"/>
              <w:right w:w="80" w:type="dxa"/>
            </w:tcMar>
            <w:vAlign w:val="center"/>
          </w:tcPr>
          <w:p w14:paraId="7517FBE8">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CUDA环境下使用FP16半精度推理</w:t>
            </w:r>
          </w:p>
        </w:tc>
      </w:tr>
    </w:tbl>
    <w:p w14:paraId="1D11696E">
      <w:pPr>
        <w:spacing w:after="0"/>
      </w:pPr>
    </w:p>
    <w:p w14:paraId="34A06D7D">
      <w:pPr>
        <w:spacing w:before="0" w:after="0" w:line="360" w:lineRule="auto"/>
        <w:ind w:firstLine="420"/>
      </w:pPr>
      <w:r>
        <w:rPr>
          <w:rFonts w:ascii="Times New Roman" w:hAnsi="Times New Roman" w:eastAsia="Noto Serif CJK SC"/>
          <w:b w:val="0"/>
          <w:sz w:val="24"/>
        </w:rPr>
        <w:t>其中，nvidia-smi显示的CUDA 13.0表示显卡驱动能够支持的最高 CUDA 版本；实际用于 PyTorch 模型推理的是 PyTorch 1.10.0+cu113 对应的 CUDA 11.3 运行时。</w:t>
      </w:r>
    </w:p>
    <w:p w14:paraId="2BF3E850">
      <w:pPr>
        <w:spacing w:before="80" w:after="80" w:line="288" w:lineRule="auto"/>
        <w:jc w:val="left"/>
      </w:pPr>
      <w:r>
        <w:rPr>
          <w:rFonts w:ascii="Times New Roman" w:hAnsi="Times New Roman" w:eastAsia="Noto Sans CJK SC"/>
          <w:b/>
          <w:sz w:val="26"/>
        </w:rPr>
        <w:t>3. 公共测试参数</w:t>
      </w:r>
    </w:p>
    <w:tbl>
      <w:tblPr>
        <w:tblStyle w:val="33"/>
        <w:tblW w:w="94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532"/>
        <w:gridCol w:w="4872"/>
      </w:tblGrid>
      <w:tr w14:paraId="4CF10A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532"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17E09375">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参数</w:t>
            </w:r>
          </w:p>
        </w:tc>
        <w:tc>
          <w:tcPr>
            <w:tcW w:w="4872"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77B3F54C">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设置值</w:t>
            </w:r>
          </w:p>
        </w:tc>
      </w:tr>
      <w:tr w14:paraId="2AC0CF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single" w:color="auto" w:sz="4" w:space="0"/>
              <w:left w:val="nil"/>
              <w:bottom w:val="nil"/>
              <w:right w:val="nil"/>
            </w:tcBorders>
            <w:noWrap w:val="0"/>
            <w:tcMar>
              <w:top w:w="80" w:type="dxa"/>
              <w:left w:w="80" w:type="dxa"/>
              <w:bottom w:w="80" w:type="dxa"/>
              <w:right w:w="80" w:type="dxa"/>
            </w:tcMar>
            <w:vAlign w:val="center"/>
          </w:tcPr>
          <w:p w14:paraId="6D297FD8">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模型输入尺寸</w:t>
            </w:r>
          </w:p>
        </w:tc>
        <w:tc>
          <w:tcPr>
            <w:tcW w:w="4872" w:type="dxa"/>
            <w:tcBorders>
              <w:top w:val="single" w:color="auto" w:sz="4" w:space="0"/>
              <w:left w:val="nil"/>
              <w:bottom w:val="nil"/>
              <w:right w:val="nil"/>
            </w:tcBorders>
            <w:noWrap w:val="0"/>
            <w:tcMar>
              <w:top w:w="80" w:type="dxa"/>
              <w:left w:w="80" w:type="dxa"/>
              <w:bottom w:w="80" w:type="dxa"/>
              <w:right w:w="80" w:type="dxa"/>
            </w:tcMar>
            <w:vAlign w:val="center"/>
          </w:tcPr>
          <w:p w14:paraId="0FDACFF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640×640</w:t>
            </w:r>
          </w:p>
        </w:tc>
      </w:tr>
      <w:tr w14:paraId="6938A0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nil"/>
              <w:right w:val="nil"/>
            </w:tcBorders>
            <w:noWrap w:val="0"/>
            <w:tcMar>
              <w:top w:w="80" w:type="dxa"/>
              <w:left w:w="80" w:type="dxa"/>
              <w:bottom w:w="80" w:type="dxa"/>
              <w:right w:w="80" w:type="dxa"/>
            </w:tcMar>
            <w:vAlign w:val="center"/>
          </w:tcPr>
          <w:p w14:paraId="3320FD98">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置信度阈值</w:t>
            </w:r>
          </w:p>
        </w:tc>
        <w:tc>
          <w:tcPr>
            <w:tcW w:w="4872" w:type="dxa"/>
            <w:tcBorders>
              <w:top w:val="nil"/>
              <w:left w:val="nil"/>
              <w:bottom w:val="nil"/>
              <w:right w:val="nil"/>
            </w:tcBorders>
            <w:noWrap w:val="0"/>
            <w:tcMar>
              <w:top w:w="80" w:type="dxa"/>
              <w:left w:w="80" w:type="dxa"/>
              <w:bottom w:w="80" w:type="dxa"/>
              <w:right w:w="80" w:type="dxa"/>
            </w:tcMar>
            <w:vAlign w:val="center"/>
          </w:tcPr>
          <w:p w14:paraId="34A8310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0.25</w:t>
            </w:r>
          </w:p>
        </w:tc>
      </w:tr>
      <w:tr w14:paraId="175478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nil"/>
              <w:right w:val="nil"/>
            </w:tcBorders>
            <w:noWrap w:val="0"/>
            <w:tcMar>
              <w:top w:w="80" w:type="dxa"/>
              <w:left w:w="80" w:type="dxa"/>
              <w:bottom w:w="80" w:type="dxa"/>
              <w:right w:w="80" w:type="dxa"/>
            </w:tcMar>
            <w:vAlign w:val="center"/>
          </w:tcPr>
          <w:p w14:paraId="0DC44756">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NMS IoU阈值</w:t>
            </w:r>
          </w:p>
        </w:tc>
        <w:tc>
          <w:tcPr>
            <w:tcW w:w="4872" w:type="dxa"/>
            <w:tcBorders>
              <w:top w:val="nil"/>
              <w:left w:val="nil"/>
              <w:bottom w:val="nil"/>
              <w:right w:val="nil"/>
            </w:tcBorders>
            <w:noWrap w:val="0"/>
            <w:tcMar>
              <w:top w:w="80" w:type="dxa"/>
              <w:left w:w="80" w:type="dxa"/>
              <w:bottom w:w="80" w:type="dxa"/>
              <w:right w:w="80" w:type="dxa"/>
            </w:tcMar>
            <w:vAlign w:val="center"/>
          </w:tcPr>
          <w:p w14:paraId="08A1F94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0.45</w:t>
            </w:r>
          </w:p>
        </w:tc>
      </w:tr>
      <w:tr w14:paraId="715E5D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nil"/>
              <w:right w:val="nil"/>
            </w:tcBorders>
            <w:noWrap w:val="0"/>
            <w:tcMar>
              <w:top w:w="80" w:type="dxa"/>
              <w:left w:w="80" w:type="dxa"/>
              <w:bottom w:w="80" w:type="dxa"/>
              <w:right w:w="80" w:type="dxa"/>
            </w:tcMar>
            <w:vAlign w:val="center"/>
          </w:tcPr>
          <w:p w14:paraId="488D8E6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GPU 设备</w:t>
            </w:r>
          </w:p>
        </w:tc>
        <w:tc>
          <w:tcPr>
            <w:tcW w:w="4872" w:type="dxa"/>
            <w:tcBorders>
              <w:top w:val="nil"/>
              <w:left w:val="nil"/>
              <w:bottom w:val="nil"/>
              <w:right w:val="nil"/>
            </w:tcBorders>
            <w:noWrap w:val="0"/>
            <w:tcMar>
              <w:top w:w="80" w:type="dxa"/>
              <w:left w:w="80" w:type="dxa"/>
              <w:bottom w:w="80" w:type="dxa"/>
              <w:right w:w="80" w:type="dxa"/>
            </w:tcMar>
            <w:vAlign w:val="center"/>
          </w:tcPr>
          <w:p w14:paraId="56A13BB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CUDA设备0</w:t>
            </w:r>
          </w:p>
        </w:tc>
      </w:tr>
      <w:tr w14:paraId="233094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nil"/>
              <w:right w:val="nil"/>
            </w:tcBorders>
            <w:noWrap w:val="0"/>
            <w:tcMar>
              <w:top w:w="80" w:type="dxa"/>
              <w:left w:w="80" w:type="dxa"/>
              <w:bottom w:w="80" w:type="dxa"/>
              <w:right w:w="80" w:type="dxa"/>
            </w:tcMar>
            <w:vAlign w:val="center"/>
          </w:tcPr>
          <w:p w14:paraId="721AD87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预热次数</w:t>
            </w:r>
          </w:p>
        </w:tc>
        <w:tc>
          <w:tcPr>
            <w:tcW w:w="4872" w:type="dxa"/>
            <w:tcBorders>
              <w:top w:val="nil"/>
              <w:left w:val="nil"/>
              <w:bottom w:val="nil"/>
              <w:right w:val="nil"/>
            </w:tcBorders>
            <w:noWrap w:val="0"/>
            <w:tcMar>
              <w:top w:w="80" w:type="dxa"/>
              <w:left w:w="80" w:type="dxa"/>
              <w:bottom w:w="80" w:type="dxa"/>
              <w:right w:w="80" w:type="dxa"/>
            </w:tcMar>
            <w:vAlign w:val="center"/>
          </w:tcPr>
          <w:p w14:paraId="2CEBE183">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30轮或30帧</w:t>
            </w:r>
          </w:p>
        </w:tc>
      </w:tr>
      <w:tr w14:paraId="366ED2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nil"/>
              <w:right w:val="nil"/>
            </w:tcBorders>
            <w:noWrap w:val="0"/>
            <w:tcMar>
              <w:top w:w="80" w:type="dxa"/>
              <w:left w:w="80" w:type="dxa"/>
              <w:bottom w:w="80" w:type="dxa"/>
              <w:right w:w="80" w:type="dxa"/>
            </w:tcMar>
            <w:vAlign w:val="center"/>
          </w:tcPr>
          <w:p w14:paraId="13CC6BFA">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正式计时数量</w:t>
            </w:r>
          </w:p>
        </w:tc>
        <w:tc>
          <w:tcPr>
            <w:tcW w:w="4872" w:type="dxa"/>
            <w:tcBorders>
              <w:top w:val="nil"/>
              <w:left w:val="nil"/>
              <w:bottom w:val="nil"/>
              <w:right w:val="nil"/>
            </w:tcBorders>
            <w:noWrap w:val="0"/>
            <w:tcMar>
              <w:top w:w="80" w:type="dxa"/>
              <w:left w:w="80" w:type="dxa"/>
              <w:bottom w:w="80" w:type="dxa"/>
              <w:right w:w="80" w:type="dxa"/>
            </w:tcMar>
            <w:vAlign w:val="center"/>
          </w:tcPr>
          <w:p w14:paraId="7871AAB0">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300轮或300帧</w:t>
            </w:r>
          </w:p>
        </w:tc>
      </w:tr>
      <w:tr w14:paraId="24872D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32" w:type="dxa"/>
            <w:tcBorders>
              <w:top w:val="nil"/>
              <w:left w:val="nil"/>
              <w:bottom w:val="single" w:color="auto" w:sz="12" w:space="0"/>
              <w:right w:val="nil"/>
            </w:tcBorders>
            <w:noWrap w:val="0"/>
            <w:tcMar>
              <w:top w:w="80" w:type="dxa"/>
              <w:left w:w="80" w:type="dxa"/>
              <w:bottom w:w="80" w:type="dxa"/>
              <w:right w:w="80" w:type="dxa"/>
            </w:tcMar>
            <w:vAlign w:val="center"/>
          </w:tcPr>
          <w:p w14:paraId="3FDD55A9">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推理精度</w:t>
            </w:r>
          </w:p>
        </w:tc>
        <w:tc>
          <w:tcPr>
            <w:tcW w:w="4872" w:type="dxa"/>
            <w:tcBorders>
              <w:top w:val="nil"/>
              <w:left w:val="nil"/>
              <w:bottom w:val="single" w:color="auto" w:sz="12" w:space="0"/>
              <w:right w:val="nil"/>
            </w:tcBorders>
            <w:noWrap w:val="0"/>
            <w:tcMar>
              <w:top w:w="80" w:type="dxa"/>
              <w:left w:w="80" w:type="dxa"/>
              <w:bottom w:w="80" w:type="dxa"/>
              <w:right w:w="80" w:type="dxa"/>
            </w:tcMar>
            <w:vAlign w:val="center"/>
          </w:tcPr>
          <w:p w14:paraId="2099BEFE">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FP16</w:t>
            </w:r>
          </w:p>
        </w:tc>
      </w:tr>
    </w:tbl>
    <w:p w14:paraId="1E20B7CE">
      <w:pPr>
        <w:spacing w:after="0"/>
      </w:pPr>
    </w:p>
    <w:p w14:paraId="18E4753D">
      <w:pPr>
        <w:spacing w:before="0" w:after="0" w:line="360" w:lineRule="auto"/>
        <w:ind w:firstLine="420"/>
      </w:pPr>
      <w:r>
        <w:rPr>
          <w:rFonts w:ascii="Times New Roman" w:hAnsi="Times New Roman" w:eastAsia="Noto Serif CJK SC"/>
          <w:b w:val="0"/>
          <w:sz w:val="24"/>
        </w:rPr>
        <w:t>测试开始前执行模型预热，以减少首次模型加载、CUDA 内核初始化和显存分配对计时结果的影响。FPS 按照完成处理的帧数或轮数与实际计时时间之比计算：</w:t>
      </w:r>
    </w:p>
    <w:p w14:paraId="1AE438B3">
      <w:pPr>
        <w:spacing w:before="60" w:after="60"/>
        <w:jc w:val="center"/>
      </w:pPr>
      <m:oMathPara>
        <m:oMath>
          <m:r>
            <m:rPr/>
            <w:rPr>
              <w:rFonts w:hint="default" w:ascii="Cambria Math" w:hAnsi="Cambria Math"/>
              <w:sz w:val="24"/>
            </w:rPr>
            <m:t>FPS=</m:t>
          </m:r>
          <m:f>
            <m:fPr>
              <m:ctrlPr>
                <w:rPr>
                  <w:rFonts w:hint="default" w:ascii="Cambria Math" w:hAnsi="Cambria Math"/>
                  <w:sz w:val="24"/>
                </w:rPr>
              </m:ctrlPr>
            </m:fPr>
            <m:num>
              <m:r>
                <m:rPr/>
                <w:rPr>
                  <w:rFonts w:hint="default" w:ascii="Cambria Math" w:hAnsi="Cambria Math"/>
                  <w:sz w:val="24"/>
                </w:rPr>
                <m:t>完成处理的帧数或轮数</m:t>
              </m:r>
              <m:ctrlPr>
                <w:rPr>
                  <w:rFonts w:ascii="Cambria Math" w:hAnsi="Cambria Math"/>
                  <w:sz w:val="24"/>
                </w:rPr>
              </m:ctrlPr>
            </m:num>
            <m:den>
              <m:r>
                <m:rPr/>
                <w:rPr>
                  <w:rFonts w:hint="default" w:ascii="Cambria Math" w:hAnsi="Cambria Math"/>
                  <w:sz w:val="24"/>
                </w:rPr>
                <m:t>实际计时时间</m:t>
              </m:r>
              <m:ctrlPr>
                <w:rPr>
                  <w:rFonts w:ascii="Cambria Math" w:hAnsi="Cambria Math"/>
                  <w:sz w:val="24"/>
                </w:rPr>
              </m:ctrlPr>
            </m:den>
          </m:f>
        </m:oMath>
      </m:oMathPara>
    </w:p>
    <w:p w14:paraId="2A69D023">
      <w:pPr>
        <w:spacing w:before="80" w:after="80" w:line="288" w:lineRule="auto"/>
        <w:jc w:val="left"/>
      </w:pPr>
      <w:r>
        <w:rPr>
          <w:rFonts w:ascii="Times New Roman" w:hAnsi="Times New Roman" w:eastAsia="Noto Sans CJK SC"/>
          <w:b/>
          <w:sz w:val="26"/>
        </w:rPr>
        <w:t>4. 测试结果</w:t>
      </w:r>
    </w:p>
    <w:tbl>
      <w:tblPr>
        <w:tblStyle w:val="33"/>
        <w:tblW w:w="94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53"/>
        <w:gridCol w:w="1379"/>
        <w:gridCol w:w="3598"/>
        <w:gridCol w:w="1214"/>
        <w:gridCol w:w="1128"/>
        <w:gridCol w:w="832"/>
      </w:tblGrid>
      <w:tr w14:paraId="58F0D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53"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16CCBBFD">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测试项目</w:t>
            </w:r>
          </w:p>
        </w:tc>
        <w:tc>
          <w:tcPr>
            <w:tcW w:w="0" w:type="auto"/>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6766F0AA">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测试脚本</w:t>
            </w:r>
          </w:p>
        </w:tc>
        <w:tc>
          <w:tcPr>
            <w:tcW w:w="3598"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7A31773A">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主要处理范围</w:t>
            </w:r>
          </w:p>
        </w:tc>
        <w:tc>
          <w:tcPr>
            <w:tcW w:w="1214"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50CA33CC">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测试结果</w:t>
            </w:r>
          </w:p>
        </w:tc>
        <w:tc>
          <w:tcPr>
            <w:tcW w:w="1128"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652D72F6">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指标要求</w:t>
            </w:r>
          </w:p>
        </w:tc>
        <w:tc>
          <w:tcPr>
            <w:tcW w:w="832" w:type="dxa"/>
            <w:tcBorders>
              <w:top w:val="single" w:color="auto" w:sz="12" w:space="0"/>
              <w:left w:val="nil"/>
              <w:bottom w:val="nil"/>
              <w:right w:val="nil"/>
            </w:tcBorders>
            <w:shd w:val="clear" w:color="auto" w:fill="FFFFFF" w:themeFill="background1"/>
            <w:noWrap w:val="0"/>
            <w:tcMar>
              <w:top w:w="80" w:type="dxa"/>
              <w:left w:w="80" w:type="dxa"/>
              <w:bottom w:w="80" w:type="dxa"/>
              <w:right w:w="80" w:type="dxa"/>
            </w:tcMar>
            <w:vAlign w:val="center"/>
          </w:tcPr>
          <w:p w14:paraId="79E1C95B">
            <w:pPr>
              <w:snapToGrid w:val="0"/>
              <w:spacing w:after="0" w:line="240" w:lineRule="auto"/>
              <w:ind w:left="0" w:leftChars="0" w:right="0" w:rightChars="0" w:firstLine="0" w:firstLineChars="0"/>
              <w:jc w:val="center"/>
              <w:rPr>
                <w:rFonts w:ascii="Times New Roman" w:eastAsia="Noto Sans CJK SC"/>
                <w:b/>
                <w:sz w:val="21"/>
              </w:rPr>
            </w:pPr>
            <w:r>
              <w:rPr>
                <w:rFonts w:ascii="Times New Roman" w:hAnsi="Times New Roman" w:eastAsia="Noto Sans CJK SC"/>
                <w:b/>
                <w:sz w:val="21"/>
              </w:rPr>
              <w:t>判定</w:t>
            </w:r>
          </w:p>
        </w:tc>
      </w:tr>
      <w:tr w14:paraId="00E853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3" w:type="dxa"/>
            <w:tcBorders>
              <w:top w:val="single" w:color="auto" w:sz="4" w:space="0"/>
              <w:left w:val="nil"/>
              <w:bottom w:val="nil"/>
              <w:right w:val="nil"/>
            </w:tcBorders>
            <w:noWrap w:val="0"/>
            <w:tcMar>
              <w:top w:w="80" w:type="dxa"/>
              <w:left w:w="80" w:type="dxa"/>
              <w:bottom w:w="80" w:type="dxa"/>
              <w:right w:w="80" w:type="dxa"/>
            </w:tcMar>
            <w:vAlign w:val="center"/>
          </w:tcPr>
          <w:p w14:paraId="10B0884E">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图片处理</w:t>
            </w:r>
          </w:p>
        </w:tc>
        <w:tc>
          <w:tcPr>
            <w:tcW w:w="0" w:type="auto"/>
            <w:tcBorders>
              <w:top w:val="single" w:color="auto" w:sz="4" w:space="0"/>
              <w:left w:val="nil"/>
              <w:bottom w:val="nil"/>
              <w:right w:val="nil"/>
            </w:tcBorders>
            <w:noWrap w:val="0"/>
            <w:tcMar>
              <w:top w:w="80" w:type="dxa"/>
              <w:left w:w="80" w:type="dxa"/>
              <w:bottom w:w="80" w:type="dxa"/>
              <w:right w:w="80" w:type="dxa"/>
            </w:tcMar>
            <w:vAlign w:val="center"/>
          </w:tcPr>
          <w:p w14:paraId="6E4913BB">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fps_images.py</w:t>
            </w:r>
          </w:p>
        </w:tc>
        <w:tc>
          <w:tcPr>
            <w:tcW w:w="3598" w:type="dxa"/>
            <w:tcBorders>
              <w:top w:val="single" w:color="auto" w:sz="4" w:space="0"/>
              <w:left w:val="nil"/>
              <w:bottom w:val="nil"/>
              <w:right w:val="nil"/>
            </w:tcBorders>
            <w:noWrap w:val="0"/>
            <w:tcMar>
              <w:top w:w="80" w:type="dxa"/>
              <w:left w:w="80" w:type="dxa"/>
              <w:bottom w:w="80" w:type="dxa"/>
              <w:right w:w="80" w:type="dxa"/>
            </w:tcMar>
            <w:vAlign w:val="center"/>
          </w:tcPr>
          <w:p w14:paraId="4E1723D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预加载图片、红外/可见光双模型预处理、推理及NMS</w:t>
            </w:r>
          </w:p>
        </w:tc>
        <w:tc>
          <w:tcPr>
            <w:tcW w:w="1214" w:type="dxa"/>
            <w:tcBorders>
              <w:top w:val="single" w:color="auto" w:sz="4" w:space="0"/>
              <w:left w:val="nil"/>
              <w:bottom w:val="nil"/>
              <w:right w:val="nil"/>
            </w:tcBorders>
            <w:noWrap w:val="0"/>
            <w:tcMar>
              <w:top w:w="80" w:type="dxa"/>
              <w:left w:w="80" w:type="dxa"/>
              <w:bottom w:w="80" w:type="dxa"/>
              <w:right w:w="80" w:type="dxa"/>
            </w:tcMar>
            <w:vAlign w:val="center"/>
          </w:tcPr>
          <w:p w14:paraId="1AA3C621">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76.67 FPS</w:t>
            </w:r>
          </w:p>
        </w:tc>
        <w:tc>
          <w:tcPr>
            <w:tcW w:w="1128" w:type="dxa"/>
            <w:tcBorders>
              <w:top w:val="single" w:color="auto" w:sz="4" w:space="0"/>
              <w:left w:val="nil"/>
              <w:bottom w:val="nil"/>
              <w:right w:val="nil"/>
            </w:tcBorders>
            <w:noWrap w:val="0"/>
            <w:tcMar>
              <w:top w:w="80" w:type="dxa"/>
              <w:left w:w="80" w:type="dxa"/>
              <w:bottom w:w="80" w:type="dxa"/>
              <w:right w:w="80" w:type="dxa"/>
            </w:tcMar>
            <w:vAlign w:val="center"/>
          </w:tcPr>
          <w:p w14:paraId="21A28A9B">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≥50 FPS</w:t>
            </w:r>
          </w:p>
        </w:tc>
        <w:tc>
          <w:tcPr>
            <w:tcW w:w="832" w:type="dxa"/>
            <w:tcBorders>
              <w:top w:val="single" w:color="auto" w:sz="4" w:space="0"/>
              <w:left w:val="nil"/>
              <w:bottom w:val="nil"/>
              <w:right w:val="nil"/>
            </w:tcBorders>
            <w:noWrap w:val="0"/>
            <w:tcMar>
              <w:top w:w="80" w:type="dxa"/>
              <w:left w:w="80" w:type="dxa"/>
              <w:bottom w:w="80" w:type="dxa"/>
              <w:right w:w="80" w:type="dxa"/>
            </w:tcMar>
            <w:vAlign w:val="center"/>
          </w:tcPr>
          <w:p w14:paraId="5937F738">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通过</w:t>
            </w:r>
          </w:p>
        </w:tc>
      </w:tr>
      <w:tr w14:paraId="232A08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3" w:type="dxa"/>
            <w:tcBorders>
              <w:top w:val="nil"/>
              <w:left w:val="nil"/>
              <w:bottom w:val="nil"/>
              <w:right w:val="nil"/>
            </w:tcBorders>
            <w:noWrap w:val="0"/>
            <w:tcMar>
              <w:top w:w="80" w:type="dxa"/>
              <w:left w:w="80" w:type="dxa"/>
              <w:bottom w:w="80" w:type="dxa"/>
              <w:right w:w="80" w:type="dxa"/>
            </w:tcMar>
            <w:vAlign w:val="center"/>
          </w:tcPr>
          <w:p w14:paraId="711D818C">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视频处理</w:t>
            </w:r>
          </w:p>
        </w:tc>
        <w:tc>
          <w:tcPr>
            <w:tcW w:w="0" w:type="auto"/>
            <w:tcBorders>
              <w:top w:val="nil"/>
              <w:left w:val="nil"/>
              <w:bottom w:val="nil"/>
              <w:right w:val="nil"/>
            </w:tcBorders>
            <w:noWrap w:val="0"/>
            <w:tcMar>
              <w:top w:w="80" w:type="dxa"/>
              <w:left w:w="80" w:type="dxa"/>
              <w:bottom w:w="80" w:type="dxa"/>
              <w:right w:w="80" w:type="dxa"/>
            </w:tcMar>
            <w:vAlign w:val="center"/>
          </w:tcPr>
          <w:p w14:paraId="06B03B6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fps_video.py</w:t>
            </w:r>
          </w:p>
        </w:tc>
        <w:tc>
          <w:tcPr>
            <w:tcW w:w="3598" w:type="dxa"/>
            <w:tcBorders>
              <w:top w:val="nil"/>
              <w:left w:val="nil"/>
              <w:bottom w:val="nil"/>
              <w:right w:val="nil"/>
            </w:tcBorders>
            <w:noWrap w:val="0"/>
            <w:tcMar>
              <w:top w:w="80" w:type="dxa"/>
              <w:left w:w="80" w:type="dxa"/>
              <w:bottom w:w="80" w:type="dxa"/>
              <w:right w:w="80" w:type="dxa"/>
            </w:tcMar>
            <w:vAlign w:val="center"/>
          </w:tcPr>
          <w:p w14:paraId="5D0DA60F">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视频解码、红外/可见光双模型预处理、推理及NMS</w:t>
            </w:r>
          </w:p>
        </w:tc>
        <w:tc>
          <w:tcPr>
            <w:tcW w:w="1214" w:type="dxa"/>
            <w:tcBorders>
              <w:top w:val="nil"/>
              <w:left w:val="nil"/>
              <w:bottom w:val="nil"/>
              <w:right w:val="nil"/>
            </w:tcBorders>
            <w:noWrap w:val="0"/>
            <w:tcMar>
              <w:top w:w="80" w:type="dxa"/>
              <w:left w:w="80" w:type="dxa"/>
              <w:bottom w:w="80" w:type="dxa"/>
              <w:right w:w="80" w:type="dxa"/>
            </w:tcMar>
            <w:vAlign w:val="center"/>
          </w:tcPr>
          <w:p w14:paraId="002A19F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69.69 FPS</w:t>
            </w:r>
          </w:p>
        </w:tc>
        <w:tc>
          <w:tcPr>
            <w:tcW w:w="1128" w:type="dxa"/>
            <w:tcBorders>
              <w:top w:val="nil"/>
              <w:left w:val="nil"/>
              <w:bottom w:val="nil"/>
              <w:right w:val="nil"/>
            </w:tcBorders>
            <w:noWrap w:val="0"/>
            <w:tcMar>
              <w:top w:w="80" w:type="dxa"/>
              <w:left w:w="80" w:type="dxa"/>
              <w:bottom w:w="80" w:type="dxa"/>
              <w:right w:w="80" w:type="dxa"/>
            </w:tcMar>
            <w:vAlign w:val="center"/>
          </w:tcPr>
          <w:p w14:paraId="584485E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≥50 FPS</w:t>
            </w:r>
          </w:p>
        </w:tc>
        <w:tc>
          <w:tcPr>
            <w:tcW w:w="832" w:type="dxa"/>
            <w:tcBorders>
              <w:top w:val="nil"/>
              <w:left w:val="nil"/>
              <w:bottom w:val="nil"/>
              <w:right w:val="nil"/>
            </w:tcBorders>
            <w:noWrap w:val="0"/>
            <w:tcMar>
              <w:top w:w="80" w:type="dxa"/>
              <w:left w:w="80" w:type="dxa"/>
              <w:bottom w:w="80" w:type="dxa"/>
              <w:right w:w="80" w:type="dxa"/>
            </w:tcMar>
            <w:vAlign w:val="center"/>
          </w:tcPr>
          <w:p w14:paraId="1526624C">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通过</w:t>
            </w:r>
          </w:p>
        </w:tc>
      </w:tr>
      <w:tr w14:paraId="178C9C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53" w:type="dxa"/>
            <w:tcBorders>
              <w:top w:val="nil"/>
              <w:left w:val="nil"/>
              <w:bottom w:val="single" w:color="auto" w:sz="12" w:space="0"/>
              <w:right w:val="nil"/>
            </w:tcBorders>
            <w:noWrap w:val="0"/>
            <w:tcMar>
              <w:top w:w="80" w:type="dxa"/>
              <w:left w:w="80" w:type="dxa"/>
              <w:bottom w:w="80" w:type="dxa"/>
              <w:right w:w="80" w:type="dxa"/>
            </w:tcMar>
            <w:vAlign w:val="center"/>
          </w:tcPr>
          <w:p w14:paraId="7276B1B8">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核心算法</w:t>
            </w:r>
          </w:p>
        </w:tc>
        <w:tc>
          <w:tcPr>
            <w:tcW w:w="1379" w:type="dxa"/>
            <w:tcBorders>
              <w:top w:val="nil"/>
              <w:left w:val="nil"/>
              <w:bottom w:val="single" w:color="auto" w:sz="12" w:space="0"/>
              <w:right w:val="nil"/>
            </w:tcBorders>
            <w:noWrap w:val="0"/>
            <w:tcMar>
              <w:top w:w="80" w:type="dxa"/>
              <w:left w:w="80" w:type="dxa"/>
              <w:bottom w:w="80" w:type="dxa"/>
              <w:right w:w="80" w:type="dxa"/>
            </w:tcMar>
            <w:vAlign w:val="center"/>
          </w:tcPr>
          <w:p w14:paraId="440C86AD">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fps_suanfa.py</w:t>
            </w:r>
          </w:p>
        </w:tc>
        <w:tc>
          <w:tcPr>
            <w:tcW w:w="3598" w:type="dxa"/>
            <w:tcBorders>
              <w:top w:val="nil"/>
              <w:left w:val="nil"/>
              <w:bottom w:val="single" w:color="auto" w:sz="12" w:space="0"/>
              <w:right w:val="nil"/>
            </w:tcBorders>
            <w:noWrap w:val="0"/>
            <w:tcMar>
              <w:top w:w="80" w:type="dxa"/>
              <w:left w:w="80" w:type="dxa"/>
              <w:bottom w:w="80" w:type="dxa"/>
              <w:right w:w="80" w:type="dxa"/>
            </w:tcMar>
            <w:vAlign w:val="center"/>
          </w:tcPr>
          <w:p w14:paraId="48249D97">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视频解码、单路可见光模型推理、NMS、坐标恢复及画框</w:t>
            </w:r>
          </w:p>
        </w:tc>
        <w:tc>
          <w:tcPr>
            <w:tcW w:w="1214" w:type="dxa"/>
            <w:tcBorders>
              <w:top w:val="nil"/>
              <w:left w:val="nil"/>
              <w:bottom w:val="single" w:color="auto" w:sz="12" w:space="0"/>
              <w:right w:val="nil"/>
            </w:tcBorders>
            <w:noWrap w:val="0"/>
            <w:tcMar>
              <w:top w:w="80" w:type="dxa"/>
              <w:left w:w="80" w:type="dxa"/>
              <w:bottom w:w="80" w:type="dxa"/>
              <w:right w:w="80" w:type="dxa"/>
            </w:tcMar>
            <w:vAlign w:val="center"/>
          </w:tcPr>
          <w:p w14:paraId="563CD0CA">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114.04</w:t>
            </w:r>
            <w:r>
              <w:rPr>
                <w:rFonts w:hint="eastAsia"/>
                <w:b w:val="0"/>
                <w:sz w:val="21"/>
                <w:lang w:val="en-US" w:eastAsia="zh-CN"/>
              </w:rPr>
              <w:t xml:space="preserve"> </w:t>
            </w:r>
            <w:r>
              <w:rPr>
                <w:rFonts w:ascii="Times New Roman" w:hAnsi="Times New Roman" w:eastAsia="Noto Serif CJK SC"/>
                <w:b w:val="0"/>
                <w:sz w:val="21"/>
              </w:rPr>
              <w:t>FPS</w:t>
            </w:r>
          </w:p>
        </w:tc>
        <w:tc>
          <w:tcPr>
            <w:tcW w:w="1128" w:type="dxa"/>
            <w:tcBorders>
              <w:top w:val="nil"/>
              <w:left w:val="nil"/>
              <w:bottom w:val="single" w:color="auto" w:sz="12" w:space="0"/>
              <w:right w:val="nil"/>
            </w:tcBorders>
            <w:noWrap w:val="0"/>
            <w:tcMar>
              <w:top w:w="80" w:type="dxa"/>
              <w:left w:w="80" w:type="dxa"/>
              <w:bottom w:w="80" w:type="dxa"/>
              <w:right w:w="80" w:type="dxa"/>
            </w:tcMar>
            <w:vAlign w:val="center"/>
          </w:tcPr>
          <w:p w14:paraId="3AD5A3F2">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≥50 FPS</w:t>
            </w:r>
          </w:p>
        </w:tc>
        <w:tc>
          <w:tcPr>
            <w:tcW w:w="832" w:type="dxa"/>
            <w:tcBorders>
              <w:top w:val="nil"/>
              <w:left w:val="nil"/>
              <w:bottom w:val="single" w:color="auto" w:sz="12" w:space="0"/>
              <w:right w:val="nil"/>
            </w:tcBorders>
            <w:noWrap w:val="0"/>
            <w:tcMar>
              <w:top w:w="80" w:type="dxa"/>
              <w:left w:w="80" w:type="dxa"/>
              <w:bottom w:w="80" w:type="dxa"/>
              <w:right w:w="80" w:type="dxa"/>
            </w:tcMar>
            <w:vAlign w:val="center"/>
          </w:tcPr>
          <w:p w14:paraId="62AE802E">
            <w:pPr>
              <w:snapToGrid w:val="0"/>
              <w:spacing w:after="0" w:line="240" w:lineRule="auto"/>
              <w:ind w:left="0" w:leftChars="0" w:right="0" w:rightChars="0" w:firstLine="0" w:firstLineChars="0"/>
              <w:jc w:val="center"/>
              <w:rPr>
                <w:rFonts w:ascii="Times New Roman" w:eastAsia="Noto Serif CJK SC"/>
                <w:sz w:val="21"/>
              </w:rPr>
            </w:pPr>
            <w:r>
              <w:rPr>
                <w:rFonts w:ascii="Times New Roman" w:hAnsi="Times New Roman" w:eastAsia="Noto Serif CJK SC"/>
                <w:b w:val="0"/>
                <w:sz w:val="21"/>
              </w:rPr>
              <w:t>通过</w:t>
            </w:r>
          </w:p>
        </w:tc>
      </w:tr>
    </w:tbl>
    <w:p w14:paraId="3E23F203">
      <w:pPr>
        <w:spacing w:before="0" w:after="0" w:line="360" w:lineRule="auto"/>
        <w:ind w:firstLine="420"/>
      </w:pPr>
      <w:r>
        <w:rPr>
          <w:rFonts w:ascii="Times New Roman" w:hAnsi="Times New Roman" w:eastAsia="Noto Serif CJK SC"/>
          <w:b w:val="0"/>
          <w:sz w:val="24"/>
        </w:rPr>
        <w:t>图片处理测试在正式计时前将测试图片加载至内存，因此76.67</w:t>
      </w:r>
      <w:r>
        <w:rPr>
          <w:rFonts w:hint="eastAsia"/>
          <w:b w:val="0"/>
          <w:sz w:val="24"/>
          <w:lang w:val="en-US" w:eastAsia="zh-CN"/>
        </w:rPr>
        <w:t xml:space="preserve"> </w:t>
      </w:r>
      <w:r>
        <w:rPr>
          <w:rFonts w:ascii="Times New Roman" w:hAnsi="Times New Roman" w:eastAsia="Noto Serif CJK SC"/>
          <w:b w:val="0"/>
          <w:sz w:val="24"/>
        </w:rPr>
        <w:t>FPS主要反映双模型图像预处理、推理及NMS处理能力，不包含正式计时阶段的磁盘读取时间。</w:t>
      </w:r>
    </w:p>
    <w:p w14:paraId="5F093BB1">
      <w:pPr>
        <w:spacing w:before="0" w:after="0" w:line="360" w:lineRule="auto"/>
        <w:ind w:firstLine="420"/>
      </w:pPr>
      <w:r>
        <w:rPr>
          <w:rFonts w:ascii="Times New Roman" w:hAnsi="Times New Roman" w:eastAsia="Noto Serif CJK SC"/>
          <w:b w:val="0"/>
          <w:sz w:val="24"/>
        </w:rPr>
        <w:t>视频处理测试包含视频帧读取与解码、图像预处理、红外和可见光两个模型的顺序推理以及NMS后处理。该脚本使用同一视频帧测试两个模型的计算负载，因此69.69 FPS主要反映双模型串行处理条件下的性能，不等同于真实双路红外和可见光传感器同步采集条件下的端到端帧率。</w:t>
      </w:r>
    </w:p>
    <w:p w14:paraId="5810175F">
      <w:pPr>
        <w:spacing w:before="0" w:after="0" w:line="360" w:lineRule="auto"/>
        <w:ind w:firstLine="420"/>
      </w:pPr>
      <w:r>
        <w:rPr>
          <w:rFonts w:ascii="Times New Roman" w:hAnsi="Times New Roman" w:eastAsia="Noto Serif CJK SC"/>
          <w:b w:val="0"/>
          <w:sz w:val="24"/>
        </w:rPr>
        <w:t>核心算法测试主要运行单路可见光YOLOv5检测流程，包括视频解码、图像预处理、模型推理、NMS、坐标恢复和检测框绘制。因此，114.04 FPS表示单路核心检测算法处理速度，不能直接解释为完整双模态系统处理速度。</w:t>
      </w:r>
    </w:p>
    <w:p w14:paraId="0B83F4A4">
      <w:pPr>
        <w:spacing w:before="0" w:after="0" w:line="360" w:lineRule="auto"/>
        <w:ind w:firstLine="420"/>
      </w:pPr>
      <w:r>
        <w:rPr>
          <w:rFonts w:ascii="Times New Roman" w:hAnsi="Times New Roman" w:eastAsia="Noto Serif CJK SC"/>
          <w:b w:val="0"/>
          <w:sz w:val="24"/>
        </w:rPr>
        <w:t>三项实测结果均高于50 FPS指标阈值。因此，在RTX 4090云端服务器、当前模型版本、推理参数及相应专项脚本计时范围下，火情检测算法运行速度达到指标要求。</w:t>
      </w:r>
    </w:p>
    <w:p w14:paraId="42F0194E">
      <w:pPr>
        <w:spacing w:before="80" w:after="80" w:line="288" w:lineRule="auto"/>
        <w:jc w:val="left"/>
      </w:pPr>
      <w:r>
        <w:rPr>
          <w:rFonts w:ascii="Times New Roman" w:hAnsi="Times New Roman" w:eastAsia="Noto Sans CJK SC"/>
          <w:b/>
          <w:sz w:val="26"/>
        </w:rPr>
        <w:t>5. 测试前提与结果边界</w:t>
      </w:r>
    </w:p>
    <w:p w14:paraId="4F3F436B">
      <w:pPr>
        <w:spacing w:before="0" w:after="0" w:line="360" w:lineRule="auto"/>
        <w:ind w:firstLine="420"/>
        <w:rPr>
          <w:rFonts w:hint="eastAsia" w:ascii="宋体" w:hAnsi="宋体" w:eastAsia="宋体" w:cs="宋体"/>
          <w:b w:val="0"/>
          <w:sz w:val="24"/>
        </w:rPr>
      </w:pPr>
      <w:r>
        <w:rPr>
          <w:rFonts w:hint="eastAsia" w:ascii="宋体" w:hAnsi="宋体" w:eastAsia="宋体" w:cs="宋体"/>
          <w:b w:val="0"/>
          <w:sz w:val="24"/>
        </w:rPr>
        <w:t>三类测试的处理范围并不完全相同，且均未完整覆盖真实双路传感器采集与同步、SAM2 分割、火场面积反演、完整融合决策、Flask页面展示以及日志和结果文件保存等全部系统环节。现有测试结果主要反映云端高性能GPU环境下的专项算法性能，不能直接代表无人机机载边缘设备或完整系统链路的实际运行速度。原始控制台运行日志在形成内部汇报材料后未完整保留，后续宜在目标部署设备上统一测试口径，开展完整链路复测，并保存运行环境、输入数据参数、原始日志和多次重复测试结果。</w:t>
      </w:r>
    </w:p>
    <w:sectPr>
      <w:footerReference r:id="rId5" w:type="default"/>
      <w:pgSz w:w="12240" w:h="15840"/>
      <w:pgMar w:top="1417" w:right="1361" w:bottom="1304" w:left="1474"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宋体"/>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宋体"/>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4B5F">
    <w:pPr>
      <w:pStyle w:val="24"/>
      <w:jc w:val="center"/>
    </w:pPr>
    <w:r>
      <w:rPr>
        <w:rFonts w:ascii="Times New Roman" w:hAnsi="Times New Roman" w:eastAsia="Noto Serif CJK SC"/>
        <w:b w:val="0"/>
        <w:sz w:val="20"/>
      </w:rPr>
      <w:fldChar w:fldCharType="begin"/>
    </w:r>
    <w:r>
      <w:rPr>
        <w:rFonts w:ascii="Times New Roman" w:hAnsi="Times New Roman" w:eastAsia="Noto Serif CJK SC"/>
        <w:b w:val="0"/>
        <w:sz w:val="20"/>
      </w:rPr>
      <w:instrText xml:space="preserve">PAGE</w:instrText>
    </w:r>
    <w:r>
      <w:rPr>
        <w:rFonts w:ascii="Times New Roman" w:hAnsi="Times New Roman" w:eastAsia="Noto Serif CJK SC"/>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34552"/>
    <w:rsid w:val="73837F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1830</Words>
  <Characters>2273</Characters>
  <Lines>0</Lines>
  <Paragraphs>0</Paragraphs>
  <TotalTime>22</TotalTime>
  <ScaleCrop>false</ScaleCrop>
  <LinksUpToDate>false</LinksUpToDate>
  <CharactersWithSpaces>2426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xing</cp:lastModifiedBy>
  <dcterms:modified xsi:type="dcterms:W3CDTF">2026-07-09T16:31:22Z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eyJoZGlkIjoiOTc4OGQ3MWZlMDc1NjlhMDRiMWQyOTQ5N2ZmYTQxNzkiLCJ1c2VySWQiOiIxMzg4NjQ1ODg2In0=</vt:lpwstr>
  </property>
  <property fmtid="{D5CDD505-2E9C-101B-9397-08002B2CF9AE}" pid="3" name="KSOProductBuildVer">
    <vt:lpwstr>2052-12.1.0.26895</vt:lpwstr>
  </property>
  <property fmtid="{D5CDD505-2E9C-101B-9397-08002B2CF9AE}" pid="4" name="ICV">
    <vt:lpwstr>A9812C20F595453A93E5B7A57662DA0B_12</vt:lpwstr>
  </property>
</Properties>
</file>