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ACEB7">
      <w:pPr>
        <w:spacing w:after="240"/>
        <w:jc w:val="center"/>
      </w:pPr>
      <w:r>
        <w:rPr>
          <w:rFonts w:ascii="黑体" w:hAnsi="黑体" w:eastAsia="黑体"/>
          <w:b/>
          <w:sz w:val="36"/>
        </w:rPr>
        <w:t>科技计划项目结题验收系统填报（建议稿）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C9B7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ABB8555">
            <w:pPr>
              <w:spacing w:after="0" w:line="240" w:lineRule="auto"/>
              <w:jc w:val="center"/>
            </w:pPr>
            <w:r>
              <w:rPr>
                <w:rFonts w:ascii="宋体" w:hAnsi="宋体" w:eastAsia="宋体"/>
                <w:b/>
                <w:sz w:val="21"/>
              </w:rPr>
              <w:t>计划类别</w:t>
            </w:r>
          </w:p>
        </w:tc>
        <w:tc>
          <w:tcPr>
            <w:tcW w:w="4394" w:type="dxa"/>
            <w:vAlign w:val="center"/>
          </w:tcPr>
          <w:p w14:paraId="337CBBB1">
            <w:pPr>
              <w:spacing w:after="0" w:line="240" w:lineRule="auto"/>
              <w:jc w:val="left"/>
            </w:pPr>
            <w:r>
              <w:rPr>
                <w:rFonts w:ascii="宋体" w:hAnsi="宋体" w:eastAsia="宋体"/>
                <w:b w:val="0"/>
                <w:sz w:val="21"/>
              </w:rPr>
              <w:t>辽宁省科学技术计划重点研发项目—产业技术创新类</w:t>
            </w:r>
          </w:p>
        </w:tc>
      </w:tr>
      <w:tr w14:paraId="540B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0DE7249">
            <w:pPr>
              <w:spacing w:after="0" w:line="240" w:lineRule="auto"/>
              <w:jc w:val="center"/>
            </w:pPr>
            <w:r>
              <w:rPr>
                <w:rFonts w:ascii="宋体" w:hAnsi="宋体" w:eastAsia="宋体"/>
                <w:b/>
                <w:sz w:val="21"/>
              </w:rPr>
              <w:t>项目名称</w:t>
            </w:r>
          </w:p>
        </w:tc>
        <w:tc>
          <w:tcPr>
            <w:tcW w:w="4394" w:type="dxa"/>
            <w:vAlign w:val="center"/>
          </w:tcPr>
          <w:p w14:paraId="1BDE4A29">
            <w:pPr>
              <w:spacing w:after="0" w:line="240" w:lineRule="auto"/>
              <w:jc w:val="left"/>
            </w:pPr>
            <w:r>
              <w:rPr>
                <w:rFonts w:ascii="宋体" w:hAnsi="宋体" w:eastAsia="宋体"/>
                <w:b w:val="0"/>
                <w:sz w:val="21"/>
              </w:rPr>
              <w:t>智能低空无人机集群地面协同侦测灭火系统研发</w:t>
            </w:r>
          </w:p>
        </w:tc>
      </w:tr>
      <w:tr w14:paraId="7C60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3B36B4">
            <w:pPr>
              <w:spacing w:after="0" w:line="240" w:lineRule="auto"/>
              <w:jc w:val="center"/>
            </w:pPr>
            <w:r>
              <w:rPr>
                <w:rFonts w:ascii="宋体" w:hAnsi="宋体" w:eastAsia="宋体"/>
                <w:b/>
                <w:sz w:val="21"/>
              </w:rPr>
              <w:t>项目编号</w:t>
            </w:r>
          </w:p>
        </w:tc>
        <w:tc>
          <w:tcPr>
            <w:tcW w:w="4394" w:type="dxa"/>
            <w:vAlign w:val="center"/>
          </w:tcPr>
          <w:p w14:paraId="53DB1728">
            <w:pPr>
              <w:spacing w:after="0" w:line="240" w:lineRule="auto"/>
              <w:jc w:val="left"/>
            </w:pPr>
            <w:r>
              <w:rPr>
                <w:rFonts w:ascii="宋体" w:hAnsi="宋体" w:eastAsia="宋体"/>
                <w:b w:val="0"/>
                <w:sz w:val="21"/>
              </w:rPr>
              <w:t>2024JH2/102400020</w:t>
            </w:r>
          </w:p>
        </w:tc>
      </w:tr>
      <w:tr w14:paraId="43D0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810C196">
            <w:pPr>
              <w:spacing w:after="0" w:line="240" w:lineRule="auto"/>
              <w:jc w:val="center"/>
            </w:pPr>
            <w:r>
              <w:rPr>
                <w:rFonts w:ascii="宋体" w:hAnsi="宋体" w:eastAsia="宋体"/>
                <w:b/>
                <w:sz w:val="21"/>
              </w:rPr>
              <w:t>子课题名称</w:t>
            </w:r>
          </w:p>
        </w:tc>
        <w:tc>
          <w:tcPr>
            <w:tcW w:w="4394" w:type="dxa"/>
            <w:vAlign w:val="center"/>
          </w:tcPr>
          <w:p w14:paraId="77C8E504">
            <w:pPr>
              <w:spacing w:after="0" w:line="240" w:lineRule="auto"/>
              <w:jc w:val="left"/>
            </w:pPr>
            <w:r>
              <w:rPr>
                <w:rFonts w:ascii="宋体" w:hAnsi="宋体" w:eastAsia="宋体"/>
                <w:b w:val="0"/>
                <w:sz w:val="21"/>
              </w:rPr>
              <w:t>人工智能识别算法及辅助决策系统</w:t>
            </w:r>
          </w:p>
        </w:tc>
      </w:tr>
      <w:tr w14:paraId="379FB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C309753">
            <w:pPr>
              <w:spacing w:after="0" w:line="240" w:lineRule="auto"/>
              <w:jc w:val="center"/>
            </w:pPr>
            <w:r>
              <w:rPr>
                <w:rFonts w:ascii="宋体" w:hAnsi="宋体" w:eastAsia="宋体"/>
                <w:b/>
                <w:sz w:val="21"/>
              </w:rPr>
              <w:t>甲方</w:t>
            </w:r>
          </w:p>
        </w:tc>
        <w:tc>
          <w:tcPr>
            <w:tcW w:w="4394" w:type="dxa"/>
            <w:vAlign w:val="center"/>
          </w:tcPr>
          <w:p w14:paraId="5D4B1B38">
            <w:pPr>
              <w:spacing w:after="0" w:line="240" w:lineRule="auto"/>
              <w:jc w:val="left"/>
            </w:pPr>
            <w:r>
              <w:rPr>
                <w:rFonts w:ascii="宋体" w:hAnsi="宋体" w:eastAsia="宋体"/>
                <w:b w:val="0"/>
                <w:sz w:val="21"/>
              </w:rPr>
              <w:t>华录科技文化（大连）有限公司</w:t>
            </w:r>
          </w:p>
        </w:tc>
      </w:tr>
      <w:tr w14:paraId="49C19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28BF416">
            <w:pPr>
              <w:spacing w:after="0" w:line="240" w:lineRule="auto"/>
              <w:jc w:val="center"/>
            </w:pPr>
            <w:r>
              <w:rPr>
                <w:rFonts w:ascii="宋体" w:hAnsi="宋体" w:eastAsia="宋体"/>
                <w:b/>
                <w:sz w:val="21"/>
              </w:rPr>
              <w:t>乙方</w:t>
            </w:r>
          </w:p>
        </w:tc>
        <w:tc>
          <w:tcPr>
            <w:tcW w:w="4394" w:type="dxa"/>
            <w:vAlign w:val="center"/>
          </w:tcPr>
          <w:p w14:paraId="72CD12F5">
            <w:pPr>
              <w:spacing w:after="0" w:line="240" w:lineRule="auto"/>
              <w:jc w:val="left"/>
            </w:pPr>
            <w:r>
              <w:rPr>
                <w:rFonts w:ascii="宋体" w:hAnsi="宋体" w:eastAsia="宋体"/>
                <w:b w:val="0"/>
                <w:sz w:val="21"/>
              </w:rPr>
              <w:t>东北财经大学</w:t>
            </w:r>
          </w:p>
        </w:tc>
      </w:tr>
      <w:tr w14:paraId="3E9C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C8EFA43">
            <w:pPr>
              <w:spacing w:after="0" w:line="240" w:lineRule="auto"/>
              <w:jc w:val="center"/>
            </w:pPr>
            <w:r>
              <w:rPr>
                <w:rFonts w:ascii="宋体" w:hAnsi="宋体" w:eastAsia="宋体"/>
                <w:b/>
                <w:sz w:val="21"/>
              </w:rPr>
              <w:t>项目总体执行期</w:t>
            </w:r>
          </w:p>
        </w:tc>
        <w:tc>
          <w:tcPr>
            <w:tcW w:w="4394" w:type="dxa"/>
            <w:vAlign w:val="center"/>
          </w:tcPr>
          <w:p w14:paraId="67430CB0">
            <w:pPr>
              <w:spacing w:after="0" w:line="240" w:lineRule="auto"/>
              <w:jc w:val="left"/>
            </w:pPr>
            <w:r>
              <w:rPr>
                <w:rFonts w:ascii="宋体" w:hAnsi="宋体" w:eastAsia="宋体"/>
                <w:b w:val="0"/>
                <w:sz w:val="21"/>
              </w:rPr>
              <w:t>2024年7月1日至2026年12月31日</w:t>
            </w:r>
          </w:p>
        </w:tc>
      </w:tr>
      <w:tr w14:paraId="6330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6CA9E3E">
            <w:pPr>
              <w:spacing w:after="0" w:line="240" w:lineRule="auto"/>
              <w:jc w:val="center"/>
            </w:pPr>
            <w:r>
              <w:rPr>
                <w:rFonts w:ascii="宋体" w:hAnsi="宋体" w:eastAsia="宋体"/>
                <w:b/>
                <w:sz w:val="21"/>
              </w:rPr>
              <w:t>乙方执行期</w:t>
            </w:r>
          </w:p>
        </w:tc>
        <w:tc>
          <w:tcPr>
            <w:tcW w:w="4394" w:type="dxa"/>
            <w:vAlign w:val="center"/>
          </w:tcPr>
          <w:p w14:paraId="71D06A88">
            <w:pPr>
              <w:spacing w:after="0" w:line="240" w:lineRule="auto"/>
              <w:jc w:val="left"/>
            </w:pPr>
            <w:r>
              <w:rPr>
                <w:rFonts w:ascii="宋体" w:hAnsi="宋体" w:eastAsia="宋体"/>
                <w:b w:val="0"/>
                <w:sz w:val="21"/>
              </w:rPr>
              <w:t>2024年12月31日至2026年12月31日</w:t>
            </w:r>
          </w:p>
        </w:tc>
      </w:tr>
    </w:tbl>
    <w:p w14:paraId="341D8134"/>
    <w:p w14:paraId="6614B2F5">
      <w:pPr>
        <w:pStyle w:val="3"/>
        <w:spacing w:before="120" w:after="120"/>
        <w:jc w:val="left"/>
      </w:pPr>
      <w:r>
        <w:rPr>
          <w:rFonts w:ascii="黑体" w:hAnsi="黑体" w:eastAsia="黑体"/>
          <w:b/>
          <w:sz w:val="28"/>
        </w:rPr>
        <w:t>一、主要内容及研究方法</w:t>
      </w:r>
    </w:p>
    <w:p w14:paraId="0CD58101">
      <w:pPr>
        <w:spacing w:before="0" w:after="0" w:line="360" w:lineRule="auto"/>
        <w:ind w:firstLine="420"/>
        <w:jc w:val="both"/>
      </w:pPr>
      <w:r>
        <w:rPr>
          <w:rFonts w:ascii="宋体" w:hAnsi="宋体" w:eastAsia="宋体"/>
          <w:b w:val="0"/>
          <w:sz w:val="24"/>
        </w:rPr>
        <w:t>本子课题围绕“人工智能识别算法及辅助决策系统”展开，面向典型森林火灾场景，重点完成热源检测与火情预警、火焰侦测与火情评估、火源定位与检测、辅助决策与集群协同等四类算法研究，并形成可与甲方系统对接的算法流程和页面化展示方案。甲方负责系统开发部署并提供可见光图像、热成像图像及相关感知数据，乙方基于所提供数据开展算法设计、训练、验证与原型实现。</w:t>
      </w:r>
    </w:p>
    <w:p w14:paraId="6BFCA29B">
      <w:pPr>
        <w:spacing w:before="0" w:after="0" w:line="360" w:lineRule="auto"/>
        <w:ind w:firstLine="420"/>
        <w:jc w:val="both"/>
      </w:pPr>
      <w:r>
        <w:rPr>
          <w:rFonts w:ascii="宋体" w:hAnsi="宋体" w:eastAsia="宋体"/>
          <w:b w:val="0"/>
          <w:sz w:val="24"/>
        </w:rPr>
        <w:t>研究方法上，一是以公开数据为主、以真实火灾图像为基础，对罕见场景采用语义提示驱动的AIGC方式补充样本，构建红外与可见光双模态数据基础；二是采用大框与精细化两种标注规则并行开展数据标注，兼顾标注效率、模型收敛速度和小目标检出能力；三是检测侧选用YOLOv5小模型，分割侧引入SAM2，构建“快筛+精算”的大小模型协同链路；四是采用决策级融合架构，对红外和可见光双路模型结果进行毫秒级聚合，结合面积反演与等级判定支撑辅助决策；五是通过Flask实现图像、视频、双路摄像头输入及结果页面展示，增强系统可追溯性与人工复核便利性。</w:t>
      </w:r>
    </w:p>
    <w:p w14:paraId="0C69057F">
      <w:pPr>
        <w:spacing w:before="0" w:after="0" w:line="360" w:lineRule="auto"/>
        <w:ind w:firstLine="420"/>
        <w:jc w:val="both"/>
      </w:pPr>
      <w:r>
        <w:rPr>
          <w:rFonts w:ascii="宋体" w:hAnsi="宋体" w:eastAsia="宋体"/>
          <w:b w:val="0"/>
          <w:sz w:val="24"/>
        </w:rPr>
        <w:t>训练与优化过程中，项目组围绕小目标友好、小样本泛化和复杂环境鲁棒性目标，对mosaic、mixup、copy-paste、颜色扰动、尺度扰动和weight decay等参数进行了针对性调优；同时围绕无人机机载算力受限场景开展轻量化与实时性设计，并使用NVIDIA GeForce RTX 4090平台完成模型训练与部署验证。</w:t>
      </w:r>
    </w:p>
    <w:p w14:paraId="523783FE">
      <w:pPr>
        <w:pStyle w:val="3"/>
        <w:spacing w:before="120" w:after="120"/>
        <w:jc w:val="left"/>
      </w:pPr>
      <w:r>
        <w:rPr>
          <w:rFonts w:ascii="黑体" w:hAnsi="黑体" w:eastAsia="黑体"/>
          <w:b/>
          <w:sz w:val="28"/>
        </w:rPr>
        <w:t>二、主要研究成果</w:t>
      </w:r>
    </w:p>
    <w:p w14:paraId="6EB8679E">
      <w:pPr>
        <w:spacing w:before="0" w:after="0" w:line="360" w:lineRule="auto"/>
        <w:ind w:firstLine="420"/>
        <w:jc w:val="both"/>
      </w:pPr>
      <w:r>
        <w:rPr>
          <w:rFonts w:ascii="宋体" w:hAnsi="宋体" w:eastAsia="宋体"/>
          <w:b w:val="0"/>
          <w:sz w:val="24"/>
        </w:rPr>
        <w:t>1. 形成了面向森林火灾监测的双模态数据基础。依据现有归档材料，红外数据集规模为26856张，可见光图像规模约3000张，并补充构建了正常山林、明火、隐蔽火源及多类干扰项场景。</w:t>
      </w:r>
    </w:p>
    <w:p w14:paraId="15B11BAA">
      <w:pPr>
        <w:spacing w:before="0" w:after="0" w:line="360" w:lineRule="auto"/>
        <w:ind w:firstLine="420"/>
        <w:jc w:val="both"/>
        <w:rPr>
          <w:rFonts w:ascii="宋体" w:hAnsi="宋体" w:eastAsia="宋体"/>
          <w:b w:val="0"/>
          <w:sz w:val="24"/>
        </w:rPr>
      </w:pPr>
      <w:r>
        <w:rPr>
          <w:rFonts w:ascii="宋体" w:hAnsi="宋体" w:eastAsia="宋体"/>
          <w:b w:val="0"/>
          <w:sz w:val="24"/>
        </w:rPr>
        <w:t>2. 完成了热源检测、火焰识别和火区分割的核心算法链路构建。</w:t>
      </w:r>
    </w:p>
    <w:p w14:paraId="737DC734">
      <w:pPr>
        <w:spacing w:before="0" w:after="0" w:line="360" w:lineRule="auto"/>
        <w:ind w:firstLine="420"/>
        <w:jc w:val="both"/>
      </w:pPr>
      <w:r>
        <w:rPr>
          <w:rFonts w:ascii="宋体" w:hAnsi="宋体" w:eastAsia="宋体"/>
          <w:b w:val="0"/>
          <w:sz w:val="24"/>
        </w:rPr>
        <w:t>3. 形成了红外/可见光双模型并行检测、SAM2精细分割、面积反演和火势等级判定的联动流程，输出结构化结果包括火情判断、双模态置信度、真实面积与火势等级，为甲方后续调度与联动处置提供算法接口基础。</w:t>
      </w:r>
    </w:p>
    <w:p w14:paraId="2CDABE08">
      <w:pPr>
        <w:spacing w:before="0" w:after="0" w:line="360" w:lineRule="auto"/>
        <w:ind w:firstLine="420"/>
        <w:jc w:val="both"/>
      </w:pPr>
      <w:r>
        <w:rPr>
          <w:rFonts w:ascii="宋体" w:hAnsi="宋体" w:eastAsia="宋体"/>
          <w:b w:val="0"/>
          <w:sz w:val="24"/>
        </w:rPr>
        <w:t>4. 完成了系统页面原型开发。上传页支持文件夹上传、命名规范校验以及单模态异常输入防御；结果页支持查看检测图像、视频、分割mask、系统日志和CSV结果，满足结题阶段“可演示、可复核、可追溯”的要求。</w:t>
      </w:r>
    </w:p>
    <w:p w14:paraId="55ED7666">
      <w:pPr>
        <w:spacing w:before="0" w:after="0" w:line="360" w:lineRule="auto"/>
        <w:ind w:firstLine="420"/>
        <w:jc w:val="both"/>
      </w:pPr>
      <w:r>
        <w:rPr>
          <w:rFonts w:ascii="宋体" w:hAnsi="宋体" w:eastAsia="宋体"/>
          <w:b w:val="0"/>
          <w:sz w:val="24"/>
        </w:rPr>
        <w:t>5. 内部测试中，探测告警反应时间完成专项验证：模型加载时间为5.98秒，发现火灾到告警的时间差为0秒；重要点位环境变化识别测试中，有效样本67个，主口径识别率为100%，Wilson 95%下界为94.58%，达到合同阈值要求。</w:t>
      </w:r>
    </w:p>
    <w:p w14:paraId="73D0E255">
      <w:pPr>
        <w:spacing w:before="0" w:after="0" w:line="360" w:lineRule="auto"/>
        <w:ind w:firstLine="420"/>
        <w:jc w:val="both"/>
      </w:pPr>
      <w:r>
        <w:rPr>
          <w:rFonts w:ascii="宋体" w:hAnsi="宋体" w:eastAsia="宋体"/>
          <w:b w:val="0"/>
          <w:sz w:val="24"/>
        </w:rPr>
        <w:t>6. 针对CEP、小目标像素阈值、FPS、准确率和虚警率等指标，项目组已形成对应测试代码、测试文件和网盘归档材料。其中，CEP指标在缺乏真实坐标和实测距离条件下采用像素替代口径开展了101张图的验证；最小火点像素指标完成了30×30专项样本构造与锚框优化，当前对30×60像素及以上火点可实现稳定检测。</w:t>
      </w:r>
    </w:p>
    <w:p w14:paraId="5872E88C">
      <w:pPr>
        <w:pStyle w:val="3"/>
        <w:spacing w:before="120" w:after="120"/>
        <w:jc w:val="left"/>
      </w:pPr>
      <w:r>
        <w:rPr>
          <w:rFonts w:ascii="黑体" w:hAnsi="黑体" w:eastAsia="黑体"/>
          <w:b/>
          <w:sz w:val="28"/>
        </w:rPr>
        <w:t>三、科学意义和应用前景</w:t>
      </w:r>
    </w:p>
    <w:p w14:paraId="077D31C6">
      <w:pPr>
        <w:spacing w:before="0" w:after="0" w:line="360" w:lineRule="auto"/>
        <w:ind w:firstLine="420"/>
        <w:jc w:val="both"/>
      </w:pPr>
      <w:r>
        <w:rPr>
          <w:rFonts w:ascii="宋体" w:hAnsi="宋体" w:eastAsia="宋体"/>
          <w:b w:val="0"/>
          <w:sz w:val="24"/>
        </w:rPr>
        <w:t>本子课题面向森林火灾“早发现、准评估、快响应”的实际需求，围绕低空无人机集群协同侦测灭火系统的关键感知与决策问题开展研究。项目从双模态图像识别、火区分割、面积反演到辅助决策形成了较为完整的技术链路，具有将单点图像识别拓展为系统级智能感知与量化评估的科学意义。</w:t>
      </w:r>
    </w:p>
    <w:p w14:paraId="088B74D4">
      <w:pPr>
        <w:spacing w:before="0" w:after="0" w:line="360" w:lineRule="auto"/>
        <w:ind w:firstLine="420"/>
        <w:jc w:val="both"/>
      </w:pPr>
      <w:r>
        <w:rPr>
          <w:rFonts w:ascii="宋体" w:hAnsi="宋体" w:eastAsia="宋体"/>
          <w:b w:val="0"/>
          <w:sz w:val="24"/>
        </w:rPr>
        <w:t>在应用前景方面，本成果可作为甲方空地协同侦测灭火系统中的算法与辅助决策模块，服务于山林巡检、火情预警、火场态势感知与灭火资源调配。系统对复杂背景、低光照、烟雾遮挡和小火点等场景具有较好的针对性，具备向林草防灭火、应急管理、输电走廊巡检及园区高温热源监测等场景推广的潜力。</w:t>
      </w:r>
    </w:p>
    <w:p w14:paraId="29307BCA">
      <w:pPr>
        <w:pStyle w:val="3"/>
        <w:spacing w:before="120" w:after="120"/>
        <w:jc w:val="left"/>
        <w:rPr>
          <w:highlight w:val="yellow"/>
        </w:rPr>
      </w:pPr>
      <w:r>
        <w:rPr>
          <w:rFonts w:ascii="黑体" w:hAnsi="黑体" w:eastAsia="黑体"/>
          <w:b/>
          <w:sz w:val="28"/>
          <w:highlight w:val="yellow"/>
        </w:rPr>
        <w:t>四、预期计划完成情况与存在的问题</w:t>
      </w:r>
    </w:p>
    <w:p w14:paraId="06375C0C">
      <w:pPr>
        <w:spacing w:before="0" w:after="0" w:line="360" w:lineRule="auto"/>
        <w:ind w:firstLine="420"/>
        <w:jc w:val="both"/>
      </w:pPr>
      <w:r>
        <w:rPr>
          <w:rFonts w:ascii="宋体" w:hAnsi="宋体" w:eastAsia="宋体"/>
          <w:b w:val="0"/>
          <w:sz w:val="24"/>
        </w:rPr>
        <w:t>根据合同约定的研究内容，乙方已完成算法总体方案设计、数据准备与标注、模型训练与优化、系统页面原型开发以及多项内部测试验证工作，已经形成可与甲方系统集成的阶段性成果。从现有材料看，热源检测与火情预警、火焰侦测与火情评估、火源定位与检测、辅助决策流程设计等主体任务均已开展并取得实质进展。</w:t>
      </w:r>
    </w:p>
    <w:p w14:paraId="1C09A4E1">
      <w:pPr>
        <w:spacing w:before="0" w:after="0" w:line="360" w:lineRule="auto"/>
        <w:ind w:firstLine="420"/>
        <w:jc w:val="both"/>
      </w:pPr>
      <w:r>
        <w:rPr>
          <w:rFonts w:ascii="宋体" w:hAnsi="宋体" w:eastAsia="宋体"/>
          <w:b w:val="0"/>
          <w:sz w:val="24"/>
        </w:rPr>
        <w:t>同时，按照“绝对准确、以证据为准”的结题口径，仍有部分内容需结合甲方系统联调记录、现场测试记录或财务与科研档案进行最终核验：一是协同定位精度、轨迹跟踪精度、任务点定位精度、1km识别定位等系统级指标，在目前摘录材料中缺乏完整原始测试记录；二是CEP≤20m指标因缺乏真实坐标与实测距离，当前仅完成像素替代口径验证，正式验收时</w:t>
      </w:r>
      <w:bookmarkStart w:id="0" w:name="_GoBack"/>
      <w:bookmarkEnd w:id="0"/>
      <w:r>
        <w:rPr>
          <w:rFonts w:ascii="宋体" w:hAnsi="宋体" w:eastAsia="宋体"/>
          <w:b w:val="0"/>
          <w:sz w:val="24"/>
        </w:rPr>
        <w:t>宜补充实景测量结果；三是最小火点像素阈值、FPS、联合检测准确率、虚警率及协同灭火智能决策正确率等，需附正式测试报表、原始日志或甲方联调结果。</w:t>
      </w:r>
    </w:p>
    <w:p w14:paraId="76AFBECB">
      <w:pPr>
        <w:pStyle w:val="3"/>
        <w:spacing w:before="120" w:after="120"/>
        <w:jc w:val="left"/>
      </w:pPr>
      <w:r>
        <w:rPr>
          <w:rFonts w:ascii="黑体" w:hAnsi="黑体" w:eastAsia="黑体"/>
          <w:b/>
          <w:sz w:val="28"/>
        </w:rPr>
        <w:t>五、下一步研究计划与打算</w:t>
      </w:r>
    </w:p>
    <w:p w14:paraId="65CD673A">
      <w:pPr>
        <w:spacing w:before="0" w:after="0" w:line="360" w:lineRule="auto"/>
        <w:ind w:firstLine="420"/>
        <w:jc w:val="both"/>
      </w:pPr>
      <w:r>
        <w:rPr>
          <w:rFonts w:ascii="宋体" w:hAnsi="宋体" w:eastAsia="宋体"/>
          <w:b w:val="0"/>
          <w:sz w:val="24"/>
        </w:rPr>
        <w:t>下一步，项目组建议围绕以下方向继续完善：一是补充同一场景下红外/可见光同步航拍数据、真实坐标和测距数据，进一步提升定位与CEP类指标的实测可信度；二是在甲方系统集成环境中完成辅助决策与集群协同算法联调，完善决策正确率与资源调度效果评估；三是持续开展“训练用大模型、推理用小模型”的弱监督与蒸馏研究，提升极早期火点和罕见场景检测能力；四是继续推进边缘部署与轻量化优化，增强面向无人机长航时任务的实用性。</w:t>
      </w:r>
    </w:p>
    <w:p w14:paraId="198EB3FC">
      <w:pPr>
        <w:spacing w:before="0" w:after="0" w:line="360" w:lineRule="auto"/>
        <w:ind w:firstLine="420"/>
        <w:jc w:val="both"/>
      </w:pPr>
      <w:r>
        <w:rPr>
          <w:rFonts w:ascii="宋体" w:hAnsi="宋体" w:eastAsia="宋体"/>
          <w:b w:val="0"/>
          <w:sz w:val="24"/>
        </w:rPr>
        <w:t>在成果应用方面，建议以本子课题形成的算法和页面原型为基础，尽快完成与甲方整机系统及示范应用场景的深度耦合，形成可复制、可推广的空地协同森林火灾智能监测方案。</w:t>
      </w:r>
    </w:p>
    <w:sectPr>
      <w:headerReference r:id="rId5" w:type="default"/>
      <w:footerReference r:id="rId6" w:type="default"/>
      <w:pgSz w:w="11906" w:h="16838"/>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313CC">
    <w:pPr>
      <w:pStyle w:val="24"/>
      <w:jc w:val="center"/>
    </w:pPr>
    <w:r>
      <w:rPr>
        <w:rFonts w:ascii="宋体" w:hAnsi="宋体" w:eastAsia="宋体"/>
        <w:b w:val="0"/>
        <w:sz w:val="18"/>
      </w:rPr>
      <w:t xml:space="preserve">—  </w:t>
    </w:r>
    <w:r>
      <w:fldChar w:fldCharType="begin"/>
    </w:r>
    <w:r>
      <w:instrText xml:space="preserve">PAGE</w:instrText>
    </w:r>
    <w:r>
      <w:fldChar w:fldCharType="separate"/>
    </w:r>
    <w:r>
      <w:t>1</w:t>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EEF3D">
    <w:pPr>
      <w:pStyle w:val="25"/>
      <w:jc w:val="center"/>
    </w:pPr>
    <w:r>
      <w:rPr>
        <w:rFonts w:ascii="宋体" w:hAnsi="宋体" w:eastAsia="宋体"/>
        <w:b w:val="0"/>
        <w:sz w:val="18"/>
      </w:rPr>
      <w:t>科技计划项目结题验收系统填报（建议稿）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9734A"/>
    <w:rsid w:val="361E1B63"/>
    <w:rsid w:val="6D5C4D79"/>
    <w:rsid w:val="743B33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2309</Words>
  <Characters>2561</Characters>
  <Lines>0</Lines>
  <Paragraphs>0</Paragraphs>
  <TotalTime>4</TotalTime>
  <ScaleCrop>false</ScaleCrop>
  <LinksUpToDate>false</LinksUpToDate>
  <CharactersWithSpaces>2572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柏林无少女</cp:lastModifiedBy>
  <dcterms:modified xsi:type="dcterms:W3CDTF">2026-07-07T12:22:52Z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CAE5017D8E0D4C3F88FB3AEBCE043B45_12</vt:lpwstr>
  </property>
</Properties>
</file>