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东北财经大学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工程管理硕士（MEM）学位论文开题报告</w:t>
      </w:r>
    </w:p>
    <w:p/>
    <w:p/>
    <w:p>
      <w:pPr>
        <w:jc w:val="center"/>
      </w:pPr>
      <w:r>
        <w:rPr>
          <w:rFonts w:ascii="宋体" w:hAnsi="宋体" w:eastAsia="宋体"/>
          <w:b/>
          <w:sz w:val="32"/>
        </w:rPr>
        <w:t>面向火烟目标检测的伪标签构建与级联流程选型研究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——基于 Grounding DINO、SAM3 级联及 YOLO 下游效用验证</w:t>
      </w:r>
    </w:p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专业学位类别</w:t>
            </w:r>
          </w:p>
        </w:tc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工程管理硕士（MEM）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研究方向</w:t>
            </w:r>
          </w:p>
        </w:tc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数据挖掘与商务智能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学生姓名</w:t>
            </w:r>
          </w:p>
        </w:tc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董秀丽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学号</w:t>
            </w:r>
          </w:p>
        </w:tc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2025120254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指导教师</w:t>
            </w:r>
          </w:p>
        </w:tc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高明</w:t>
            </w:r>
          </w:p>
        </w:tc>
      </w:tr>
      <w:tr>
        <w:trPr>
          <w:cantSplit w:val="true"/>
        </w:trPr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开题日期</w:t>
            </w:r>
          </w:p>
        </w:tc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2026年9月</w:t>
            </w:r>
          </w:p>
        </w:tc>
      </w:tr>
    </w:tbl>
    <w:p>
      <w:r>
        <w:rPr>
          <w:rFonts w:eastAsia="宋体"/>
        </w:rPr>
        <w:br w:type="page"/>
      </w:r>
    </w:p>
    <w:p>
      <w:pPr>
        <w:pStyle w:val="Heading1"/>
      </w:pPr>
      <w:r>
        <w:rPr>
          <w:rFonts w:eastAsia="Noto Serif CJK SC" w:ascii="Noto Serif CJK SC" w:hAnsi="Noto Serif CJK SC" w:cs="Noto Serif CJK SC"/>
        </w:rPr>
        <w:t>一、研究背景与问题提出</w:t>
      </w:r>
    </w:p>
    <w:p>
      <w:pPr>
        <w:pStyle w:val="Heading2"/>
      </w:pPr>
      <w:r>
        <w:rPr>
          <w:rFonts w:eastAsia="Noto Serif CJK SC" w:ascii="Noto Serif CJK SC" w:hAnsi="Noto Serif CJK SC" w:cs="Noto Serif CJK SC"/>
        </w:rPr>
        <w:t>1.1 研究背景与课题来源</w:t>
      </w:r>
    </w:p>
    <w:p>
      <w:r>
        <w:rPr>
          <w:rFonts w:eastAsia="宋体"/>
        </w:rPr>
        <w:t>在森林火灾、危化园区和仓储管线等场景中，智能监控离不开计算机视觉。YOLO 等主流目标检测算法依赖全监督学习，需要大量高质量人工标注。火烟样本标注成本高、周期长，而且火烟形态特殊，人工标注容易带主观偏差，影响模型迭代。因此，如何自动生成可用标注，是当前数据制备中的主要问题。</w:t>
      </w:r>
      <w:r>
        <w:rPr>
          <w:rFonts w:eastAsia="宋体"/>
        </w:rPr>
        <w:t>[1-3]</w:t>
      </w:r>
    </w:p>
    <w:p>
      <w:r>
        <w:rPr>
          <w:rFonts w:eastAsia="宋体"/>
        </w:rPr>
        <w:t>本文以火焰和烟雾为研究对象。火烟是火灾最核心的视觉特征，识别效果直接关系财产安全。火烟属于非刚性目标，形态多变、边界弥散，早期尺度很小，容易与背景混淆。与边界清晰的刚性物体相比，火烟边界模糊，不同标注人员对目标范围的判断差异较大。这种对标注尺度敏感的特点，适合用来检验自动标签生成算法。本文方法也有通用性，后续可推广到油污泄漏等其他非刚性目标。</w:t>
      </w:r>
      <w:r>
        <w:rPr>
          <w:rFonts w:eastAsia="宋体"/>
        </w:rPr>
        <w:t>[1-3,17-18,20]</w:t>
      </w:r>
    </w:p>
    <w:p>
      <w:r>
        <w:rPr>
          <w:rFonts w:eastAsia="宋体"/>
        </w:rPr>
        <w:t>近年来，Grounding DINO 和 SAM 等视觉大模型发展较快，为自动标注提供了新手段。这类模型有零样本定位和分割能力，可以生成大规模伪标签。目前关注点已不只是验证可行性，而是解决工程落地问题：如何提高标签一致性，如何量化后处理收益，不同数据规模下如何选择生产流程。</w:t>
      </w:r>
      <w:r>
        <w:rPr>
          <w:rFonts w:eastAsia="宋体"/>
        </w:rPr>
        <w:t>[4-7,17-18,24-25,32-33]</w:t>
      </w:r>
    </w:p>
    <w:p>
      <w:r>
        <w:rPr>
          <w:rFonts w:eastAsia="宋体"/>
        </w:rPr>
        <w:t>本文不改动现有模型的原生网络结构，设计一套级联式火烟伪标签生成与验证流程。流程先用 Grounding DINO 生成初始伪标签，再用 SAM3 做质量审核和边界修正，最后用 YOLO 检测器的训练效果评估标签可用性。本文不提出新网络结构，重点建立稳定、可复现的伪标签生产与验证规范，明确后处理环节和人工干预的成本收益边界。</w:t>
      </w:r>
      <w:r>
        <w:rPr>
          <w:rFonts w:eastAsia="宋体"/>
        </w:rPr>
        <w:t>[31,33-34]</w:t>
      </w:r>
    </w:p>
    <w:p>
      <w:pPr>
        <w:pStyle w:val="Heading2"/>
      </w:pPr>
      <w:r>
        <w:rPr>
          <w:rFonts w:eastAsia="Noto Serif CJK SC" w:ascii="Noto Serif CJK SC" w:hAnsi="Noto Serif CJK SC" w:cs="Noto Serif CJK SC"/>
        </w:rPr>
        <w:t>1.2 研究问题提出：三个主要挑战</w:t>
      </w:r>
    </w:p>
    <w:p>
      <w:r>
        <w:rPr>
          <w:rFonts w:eastAsia="宋体"/>
        </w:rPr>
        <w:t>挑战一：如何稳定生成可直接用于训练的伪标签。</w:t>
      </w:r>
    </w:p>
    <w:p>
      <w:r>
        <w:rPr>
          <w:rFonts w:eastAsia="宋体"/>
        </w:rPr>
        <w:t>研究方法包括开发集配置选择、固定训练协议下的 YOLO 实验、标签错误统计、多随机种子复验、隔离测试、人工抽检、时间与计算投入记录以及 Pareto 比较。所有正式结论区分“已证实、待验证、已停止”三种状态。对于 SAM3 补漏等方法，不以单次实验中的小幅提升作为有效结论，而是结合标签变化、下游训练结果和多次复验共同判断。</w:t>
      </w:r>
      <w:r>
        <w:rPr>
          <w:rFonts w:eastAsia="宋体"/>
        </w:rPr>
        <w:t>[8-10,16,19,21-23,31,34]</w:t>
      </w:r>
    </w:p>
    <w:p>
      <w:pPr>
        <w:pStyle w:val="Heading2"/>
      </w:pPr>
      <w:r>
        <w:rPr>
          <w:rFonts w:eastAsia="Noto Serif CJK SC" w:ascii="Noto Serif CJK SC" w:hAnsi="Noto Serif CJK SC" w:cs="Noto Serif CJK SC"/>
        </w:rPr>
        <w:t>1.6 研究技术路线与边界</w:t>
      </w:r>
    </w:p>
    <w:p>
      <w:r>
        <w:rPr>
          <w:rFonts w:eastAsia="宋体"/>
        </w:rPr>
        <w:t>本研究遵循“数据与测试治理—V1 自动生成与验证—SAM3 后置处理与火焰补漏—候选方案稳定性复验—隔离测试—多规模流程选型”的技术路线。首先完成多源数据集划分、提示词配置与阈值检索，用 Grounding DINO 批量生成 V1。随后通过标签质量分析和 YOLO 训练反馈，评估 V1 的实际效果。在此基础上引入 SAM3，分别构建 Verifier、Append 和 Refiner 三类后置模块，并针对火焰漏检设计候选补漏算法。各候选管线经过稳定性复验后，进入隔离测试集评估，并在不同数据规模下进行流程选型比较。需要明确，本研究聚焦伪标签生成策略、后置约束规则和生成管线优化，不涉及对 Grounding DINO、SAM3 和 YOLO 原生网络结构与内部算子的修改。</w:t>
      </w:r>
      <w:r>
        <w:rPr>
          <w:rFonts w:eastAsia="宋体"/>
        </w:rPr>
        <w:t>[11,13-15,23,26-29,33]</w:t>
      </w:r>
    </w:p>
    <w:p>
      <w:r>
        <w:rPr>
          <w:rFonts w:eastAsia="宋体"/>
        </w:rPr>
        <w:t>研究边界如下：</w:t>
      </w:r>
    </w:p>
    <w:p>
      <w:pPr>
        <w:ind w:firstLine="420"/>
      </w:pPr>
      <w:r>
        <w:rPr>
          <w:rFonts w:eastAsia="宋体"/>
        </w:rPr>
        <w:t>1. 研究对象与模态局限。</w:t>
      </w:r>
    </w:p>
    <w:p>
      <w:r>
        <w:rPr>
          <w:rFonts w:eastAsia="宋体"/>
        </w:rPr>
        <w:t>本文限定于火烟目标检测训练中的图像级数据制备与标签方案比选，当前实验基于静态图像。时序视频流自动标注、在线自学习和模型持续更新涉及更复杂的时空约束，本文只作为后续方向，不纳入本阶段成果。</w:t>
      </w:r>
      <w:r>
        <w:rPr>
          <w:rFonts w:eastAsia="宋体"/>
        </w:rPr>
        <w:t>[6,17-18]</w:t>
      </w:r>
    </w:p>
    <w:p>
      <w:pPr>
        <w:ind w:firstLine="420"/>
      </w:pPr>
      <w:r>
        <w:rPr>
          <w:rFonts w:eastAsia="宋体"/>
        </w:rPr>
        <w:t>2. 数据质量的语义范畴。</w:t>
      </w:r>
    </w:p>
    <w:p>
      <w:r>
        <w:rPr>
          <w:rFonts w:eastAsia="宋体"/>
        </w:rPr>
        <w:t>本文所说的“数据质量”指伪标签本身的可量化形态特征，如精确率、召回率、IoU、漏检/误检率和包围框位置偏差，以及这些指标对下游检测性能的直接影响。</w:t>
      </w:r>
      <w:r>
        <w:rPr>
          <w:rFonts w:eastAsia="宋体"/>
        </w:rPr>
        <w:t>[8-10,13,16,19-20,22,26,30]</w:t>
      </w:r>
    </w:p>
    <w:p>
      <w:pPr>
        <w:ind w:firstLine="420"/>
      </w:pPr>
      <w:r>
        <w:rPr>
          <w:rFonts w:eastAsia="宋体"/>
        </w:rPr>
        <w:t>3. 流程选型的收敛范围。</w:t>
      </w:r>
    </w:p>
    <w:p>
      <w:r>
        <w:rPr>
          <w:rFonts w:eastAsia="宋体"/>
        </w:rPr>
        <w:t>本文的流程选型主要在人工全手工标注、单模型 Grounding DINO V1 方案以及大模型级联方案之间，就不同数据量级下的综合效果和资源投入做 Pareto 比选。YOLO 作为下游反向验证的基准检测器，Grounding DINO 和 SAM3 作为数据侧辅助工具，通过改善训练标签稳健性间接影响下游模型泛化表现。</w:t>
      </w:r>
      <w:r>
        <w:rPr>
          <w:rFonts w:eastAsia="宋体"/>
        </w:rPr>
        <w:t>[12,28-29,33]</w:t>
      </w:r>
    </w:p>
    <w:p>
      <w:pPr>
        <w:pStyle w:val="Heading2"/>
      </w:pPr>
      <w:r>
        <w:rPr>
          <w:rFonts w:eastAsia="Noto Serif CJK SC" w:ascii="Noto Serif CJK SC" w:hAnsi="Noto Serif CJK SC" w:cs="Noto Serif CJK SC"/>
        </w:rPr>
        <w:t>1.7 主要创新与论文结构</w:t>
      </w:r>
    </w:p>
    <w:p>
      <w:r>
        <w:rPr>
          <w:rFonts w:eastAsia="宋体"/>
        </w:rPr>
        <w:t>本文主要创新包括三方面。</w:t>
      </w:r>
    </w:p>
    <w:p>
      <w:r>
        <w:rPr>
          <w:rFonts w:eastAsia="宋体"/>
        </w:rPr>
        <w:t>第一，很多研究把大模型直接当成“更强的标注器”，希望用 SAM 或 SAM3 的分割结果替换原来的检测框。本文没有这样做。本文把后处理节点的权限拆开，严格限制 SAM3 改框的权力。系统采用“Grounding DINO 定位 + SAM3 审核 + YOLO 裁判”的三级结构，后置节点只能做被允许的操作，不能随便覆盖 V1。这样做是为了避免多模型级联时常见的负向修改和几何退化。</w:t>
      </w:r>
      <w:r>
        <w:rPr>
          <w:rFonts w:eastAsia="宋体"/>
        </w:rPr>
        <w:t>[4,7,17-18,32-33]</w:t>
      </w:r>
    </w:p>
    <w:p>
      <w:r>
        <w:rPr>
          <w:rFonts w:eastAsia="宋体"/>
        </w:rPr>
        <w:t>第二，已有自动化标注研究多关注某一环节能不能省人工，本文把整个数据制备流程标准化，并加入阶段门控。流程从依赖人工经验、主观分歧大、耗时随规模线性增长，转为可记录、可追溯、达到门槛才推进的流水线作业。对同类非刚性目标的 AI 数据工程来说，这套流程更容易复现。</w:t>
      </w:r>
      <w:r>
        <w:rPr>
          <w:rFonts w:eastAsia="宋体"/>
        </w:rPr>
        <w:t>[11,13-15,23,26-29,33]</w:t>
      </w:r>
    </w:p>
    <w:p>
      <w:pPr>
        <w:pStyle w:val="Heading2"/>
      </w:pPr>
      <w:r>
        <w:rPr>
          <w:rFonts w:eastAsia="Noto Serif CJK SC" w:ascii="Noto Serif CJK SC" w:hAnsi="Noto Serif CJK SC" w:cs="Noto Serif CJK SC"/>
        </w:rPr>
        <w:t>8.1.2 算法与策略层面：低预算语义提示冻结与多维噪声审计策略</w:t>
      </w:r>
    </w:p>
    <w:p>
      <w:r>
        <w:rPr>
          <w:rFonts w:eastAsia="宋体"/>
        </w:rPr>
        <w:t>针对火烟目标形态，本文在数据制备和质量审计环节提出以下策略：</w:t>
      </w:r>
    </w:p>
    <w:p>
      <w:pPr>
        <w:ind w:firstLine="420"/>
      </w:pPr>
      <w:r>
        <w:rPr>
          <w:rFonts w:eastAsia="宋体"/>
        </w:rPr>
        <w:t>1. 边界风格敏感性审计与冲突仲裁。</w:t>
      </w:r>
    </w:p>
    <w:p>
      <w:r>
        <w:rPr>
          <w:rFonts w:eastAsia="宋体"/>
        </w:rPr>
        <w:t>火烟边界模糊，人工标注容易把“框得松一点还是紧一点”当成定位错误。本文用中心点偏移和边界容差 IoU 两个指标，把标注风格差异和真实定位偏差分开。同时引入模型—测试集冲突仲裁，用扰动衰减曲线估算测试集噪声带来的性能折损率。这样做的目的，是让伪标签质量判断不只看单一 mAP。</w:t>
      </w:r>
      <w:r>
        <w:rPr>
          <w:rFonts w:eastAsia="宋体"/>
        </w:rPr>
        <w:t>[8-10,22,30]</w:t>
      </w:r>
    </w:p>
    <w:p>
      <w:pPr>
        <w:ind w:firstLine="420"/>
      </w:pPr>
      <w:r>
        <w:rPr>
          <w:rFonts w:eastAsia="宋体"/>
        </w:rPr>
        <w:t>2. 低预算语义提示基准确立。</w:t>
      </w:r>
    </w:p>
    <w:p>
      <w:r>
        <w:rPr>
          <w:rFonts w:eastAsia="宋体"/>
        </w:rPr>
        <w:t>本文把经验文本提示转成可冻结的工程参数，按“独立评测—mAP/AP75 主排序—阈值稳定区间—版本硬冻结”的步骤确定提示词和阈值。和只凭经验试提示词的做法相比，这套方法更稳定，也更容易复现。</w:t>
      </w:r>
      <w:r>
        <w:rPr>
          <w:rFonts w:eastAsia="宋体"/>
        </w:rPr>
        <w:t>[4,24-25]</w:t>
      </w:r>
    </w:p>
    <w:p>
      <w:pPr>
        <w:ind w:firstLine="420"/>
      </w:pPr>
      <w:r>
        <w:rPr>
          <w:rFonts w:eastAsia="宋体"/>
        </w:rPr>
        <w:t>3. IoF 包含率过滤与保守验证策略。</w:t>
      </w:r>
    </w:p>
    <w:p>
      <w:r>
        <w:rPr>
          <w:rFonts w:eastAsia="宋体"/>
        </w:rPr>
        <w:t>SAM3 在 Append 时容易和前序模型产生重叠候选框。本文引入交前景比，也就是看候选框有多大比例落在已有框内，在传统 IoU 失效时用 IoF 阈值自动过滤重叠框。针对火焰类别，本文设计保守验证策略：非 fire 类别直接旁路，低置信度强证据才否决。这样做的目的是在保住召回率的前提下拦住误检。</w:t>
      </w:r>
      <w:r>
        <w:rPr>
          <w:rFonts w:eastAsia="宋体"/>
        </w:rPr>
        <w:t>[7,17,32-33]</w:t>
      </w:r>
    </w:p>
    <w:p>
      <w:pPr>
        <w:pStyle w:val="Heading2"/>
      </w:pPr>
      <w:r>
        <w:rPr>
          <w:rFonts w:eastAsia="Noto Serif CJK SC" w:ascii="Noto Serif CJK SC" w:hAnsi="Noto Serif CJK SC" w:cs="Noto Serif CJK SC"/>
        </w:rPr>
        <w:t>8.1.3  优化与决策层面：标注成本独立核算与跨尺度情景 Pareto 选型矩阵</w:t>
      </w:r>
    </w:p>
    <w:p>
      <w:pPr>
        <w:ind w:firstLine="420"/>
      </w:pPr>
      <w:r>
        <w:rPr>
          <w:rFonts w:eastAsia="宋体"/>
        </w:rPr>
        <w:t>2. 非刚性目标伪标签评价与质量审计算法集。</w:t>
      </w:r>
    </w:p>
    <w:p>
      <w:r>
        <w:rPr>
          <w:rFonts w:eastAsia="宋体"/>
        </w:rPr>
        <w:t>针对火烟边界弥散导致的标注主观分歧，建立量化标签审计与过滤方法。包括基于中心点偏移和边界容差 IoU 的边界风格解耦度量、基于扰动衰减曲线的测试集噪声性能折损率冲突仲裁，以及基于交前景比包含率约束和保守 Verifier 策略的伪标签清洗算法。</w:t>
      </w:r>
      <w:r>
        <w:rPr>
          <w:rFonts w:eastAsia="宋体"/>
        </w:rPr>
        <w:t>[8-10,19-20,22,30]</w:t>
      </w:r>
    </w:p>
    <w:p>
      <w:pPr>
        <w:ind w:firstLine="420"/>
      </w:pPr>
      <w:r>
        <w:rPr>
          <w:rFonts w:eastAsia="宋体"/>
        </w:rPr>
        <w:t>3. 多尺度高质量火烟目标视觉伪标签基准数据集。</w:t>
      </w:r>
    </w:p>
    <w:p>
      <w:r>
        <w:rPr>
          <w:rFonts w:eastAsia="宋体"/>
        </w:rPr>
        <w:t>依托自动化管线，制备高几何精度和高类别纯净度的火烟检测基准数据集。通过在 1k、10k 至 100k 三种规模下的全流程吞吐实验，验证自动化制备方案在数据吞吐放大需求下的鲁棒性和下游效用。</w:t>
      </w:r>
      <w:r>
        <w:rPr>
          <w:rFonts w:eastAsia="宋体"/>
        </w:rPr>
        <w:t>[21,25,33]</w:t>
      </w:r>
    </w:p>
    <w:p>
      <w:pPr>
        <w:ind w:firstLine="420"/>
      </w:pPr>
      <w:r>
        <w:rPr>
          <w:rFonts w:eastAsia="宋体"/>
        </w:rPr>
        <w:t>4. 纯标注成本核算与跨尺度情景 Pareto 最优决策模型。</w:t>
      </w:r>
    </w:p>
    <w:p>
      <w:r>
        <w:rPr>
          <w:rFonts w:eastAsia="宋体"/>
        </w:rPr>
        <w:t>提出面向规模化数据生产的量化配置与路径选型框架。在剔除下游训练沉没成本的基础上，独立核算纯标注环节的人工工时和大模型 GPU 机时，构建“规模—情景—选型”Pareto 决策矩阵，为不同约束情景下的 AI 数据工程提供选型指南。</w:t>
      </w:r>
      <w:r>
        <w:rPr>
          <w:rFonts w:eastAsia="宋体"/>
        </w:rPr>
        <w:t>[12,26-29]</w:t>
      </w:r>
    </w:p>
    <w:p>
      <w:pPr>
        <w:pStyle w:val="Heading1"/>
      </w:pPr>
      <w:r>
        <w:rPr>
          <w:rFonts w:eastAsia="Noto Serif CJK SC" w:ascii="Noto Serif CJK SC" w:hAnsi="Noto Serif CJK SC" w:cs="Noto Serif CJK SC"/>
        </w:rPr>
        <w:t>十、拟定论文结构</w:t>
      </w:r>
    </w:p>
    <w:p>
      <w:pPr/>
      <w:r>
        <w:rPr>
          <w:rFonts w:eastAsia="宋体"/>
          <w:b/>
        </w:rPr>
        <w:t>第一章 绪论</w:t>
      </w:r>
    </w:p>
    <w:p>
      <w:pPr/>
      <w:r>
        <w:rPr>
          <w:rFonts w:eastAsia="宋体"/>
        </w:rPr>
        <w:t>• 研究背景与问题提出</w:t>
      </w:r>
    </w:p>
    <w:p>
      <w:pPr/>
      <w:r>
        <w:rPr>
          <w:rFonts w:eastAsia="宋体"/>
        </w:rPr>
        <w:t>• 研究目的与意义</w:t>
      </w:r>
    </w:p>
    <w:p>
      <w:pPr/>
      <w:r>
        <w:rPr>
          <w:rFonts w:eastAsia="宋体"/>
        </w:rPr>
        <w:t>• 研究边界与技术路线</w:t>
      </w:r>
    </w:p>
    <w:p>
      <w:pPr/>
      <w:r>
        <w:rPr>
          <w:rFonts w:eastAsia="宋体"/>
          <w:b/>
        </w:rPr>
        <w:t>第二章 国内外研究现状与文献综述</w:t>
      </w:r>
    </w:p>
    <w:p>
      <w:pPr/>
      <w:r>
        <w:rPr>
          <w:rFonts w:eastAsia="宋体"/>
        </w:rPr>
        <w:t>• 火焰与烟雾视觉检测研究</w:t>
      </w:r>
    </w:p>
    <w:p>
      <w:pPr/>
      <w:r>
        <w:rPr>
          <w:rFonts w:eastAsia="宋体"/>
        </w:rPr>
        <w:t>• 开放词汇检测与提示驱动视觉基础模型</w:t>
      </w:r>
    </w:p>
    <w:p>
      <w:pPr/>
      <w:r>
        <w:rPr>
          <w:rFonts w:eastAsia="宋体"/>
        </w:rPr>
        <w:t>• 伪标签、标签噪声与数据质量评价</w:t>
      </w:r>
    </w:p>
    <w:p>
      <w:pPr/>
      <w:r>
        <w:rPr>
          <w:rFonts w:eastAsia="宋体"/>
        </w:rPr>
        <w:t>• 级联流程、阶段决策与可复现实验</w:t>
      </w:r>
    </w:p>
    <w:p>
      <w:pPr/>
      <w:r>
        <w:rPr>
          <w:rFonts w:eastAsia="宋体"/>
        </w:rPr>
        <w:t>• 文献评述与研究缺口</w:t>
      </w:r>
    </w:p>
    <w:p>
      <w:pPr/>
      <w:r>
        <w:rPr>
          <w:rFonts w:eastAsia="宋体"/>
          <w:b/>
        </w:rPr>
        <w:t>第三章 Grounding DINO V1伪标签构建与效用基线</w:t>
      </w:r>
    </w:p>
    <w:p>
      <w:pPr/>
      <w:r>
        <w:rPr>
          <w:rFonts w:eastAsia="宋体"/>
        </w:rPr>
        <w:t>• 数据与开发集设计</w:t>
      </w:r>
    </w:p>
    <w:p>
      <w:pPr/>
      <w:r>
        <w:rPr>
          <w:rFonts w:eastAsia="宋体"/>
        </w:rPr>
        <w:t>• Prompt与阈值选择及冻结</w:t>
      </w:r>
    </w:p>
    <w:p>
      <w:pPr/>
      <w:r>
        <w:rPr>
          <w:rFonts w:eastAsia="宋体"/>
        </w:rPr>
        <w:t>• V1批量生成与版本管理</w:t>
      </w:r>
    </w:p>
    <w:p>
      <w:pPr/>
      <w:r>
        <w:rPr>
          <w:rFonts w:eastAsia="宋体"/>
        </w:rPr>
        <w:t>• V1标签级数据质量诊断</w:t>
      </w:r>
    </w:p>
    <w:p>
      <w:pPr/>
      <w:r>
        <w:rPr>
          <w:rFonts w:eastAsia="宋体"/>
        </w:rPr>
        <w:t>• YOLO下游效用基线</w:t>
      </w:r>
    </w:p>
    <w:p>
      <w:pPr/>
      <w:r>
        <w:rPr>
          <w:rFonts w:eastAsia="宋体"/>
          <w:b/>
        </w:rPr>
        <w:t>第四章 SAM3后置节点消融与阶段决策</w:t>
      </w:r>
    </w:p>
    <w:p>
      <w:pPr/>
      <w:r>
        <w:rPr>
          <w:rFonts w:eastAsia="宋体"/>
        </w:rPr>
        <w:t>• 级联节点角色与权限边界</w:t>
      </w:r>
    </w:p>
    <w:p>
      <w:pPr/>
      <w:r>
        <w:rPr>
          <w:rFonts w:eastAsia="宋体"/>
        </w:rPr>
        <w:t>• Verifier保守审核与误删风险</w:t>
      </w:r>
    </w:p>
    <w:p>
      <w:pPr/>
      <w:r>
        <w:rPr>
          <w:rFonts w:eastAsia="宋体"/>
        </w:rPr>
        <w:t>• Append候选补漏与IoF去重</w:t>
      </w:r>
    </w:p>
    <w:p>
      <w:pPr/>
      <w:r>
        <w:rPr>
          <w:rFonts w:eastAsia="宋体"/>
        </w:rPr>
        <w:t>• Refiner负消融及停止依据</w:t>
      </w:r>
    </w:p>
    <w:p>
      <w:pPr/>
      <w:r>
        <w:rPr>
          <w:rFonts w:eastAsia="宋体"/>
        </w:rPr>
        <w:t>• Go/Hold/Stop阶段决策结果</w:t>
      </w:r>
    </w:p>
    <w:p>
      <w:pPr/>
      <w:r>
        <w:rPr>
          <w:rFonts w:eastAsia="宋体"/>
          <w:b/>
        </w:rPr>
        <w:t>第五章 最终标签方案的下游效用与稳健性验证</w:t>
      </w:r>
    </w:p>
    <w:p>
      <w:pPr/>
      <w:r>
        <w:rPr>
          <w:rFonts w:eastAsia="宋体"/>
        </w:rPr>
        <w:t>• 最终标签方案冻结</w:t>
      </w:r>
    </w:p>
    <w:p>
      <w:pPr/>
      <w:r>
        <w:rPr>
          <w:rFonts w:eastAsia="宋体"/>
        </w:rPr>
        <w:t>• 统一YOLO多随机种子训练协议</w:t>
      </w:r>
    </w:p>
    <w:p>
      <w:pPr/>
      <w:r>
        <w:rPr>
          <w:rFonts w:eastAsia="宋体"/>
        </w:rPr>
        <w:t>• 新隔离测试集与历史Pilot可比性</w:t>
      </w:r>
    </w:p>
    <w:p>
      <w:pPr/>
      <w:r>
        <w:rPr>
          <w:rFonts w:eastAsia="宋体"/>
        </w:rPr>
        <w:t>• 核心效用指标与性能保留率</w:t>
      </w:r>
    </w:p>
    <w:p>
      <w:pPr/>
      <w:r>
        <w:rPr>
          <w:rFonts w:eastAsia="宋体"/>
        </w:rPr>
        <w:t>• fire/smoke、尺度与来源分层</w:t>
      </w:r>
    </w:p>
    <w:p>
      <w:pPr/>
      <w:r>
        <w:rPr>
          <w:rFonts w:eastAsia="宋体"/>
        </w:rPr>
        <w:t>• 非刚性边界风格敏感性分析</w:t>
      </w:r>
    </w:p>
    <w:p>
      <w:pPr/>
      <w:r>
        <w:rPr>
          <w:rFonts w:eastAsia="宋体"/>
        </w:rPr>
        <w:t>• 标签级指标与下游效用关系</w:t>
      </w:r>
    </w:p>
    <w:p>
      <w:pPr/>
      <w:r>
        <w:rPr>
          <w:rFonts w:eastAsia="宋体"/>
          <w:b/>
        </w:rPr>
        <w:t>第六章 规模训练数据制备投入与流程选型</w:t>
      </w:r>
    </w:p>
    <w:p>
      <w:pPr>
        <w:pStyle w:val="Heading1"/>
      </w:pPr>
      <w:r>
        <w:rPr>
          <w:rFonts w:eastAsia="Noto Serif CJK SC" w:ascii="Noto Serif CJK SC" w:hAnsi="Noto Serif CJK SC" w:cs="Noto Serif CJK SC"/>
        </w:rPr>
        <w:t>参考文献</w:t>
      </w:r>
    </w:p>
    <w:p>
      <w:pPr>
        <w:spacing w:line="400" w:lineRule="exact"/>
        <w:ind w:left="0"/>
      </w:pPr>
      <w:r>
        <w:rPr>
          <w:rFonts w:eastAsia="宋体"/>
        </w:rPr>
        <w:t>[1] 邓力, 周进, 刘全义. 基于改进YOLOv8的火焰与烟雾检测算法[J]. 清华大学学报(自然科学版), 2025, 65(4): 681-689. DOI:10.16511/j.cnki.qhdxxb.2024.27.036.</w:t>
      </w:r>
    </w:p>
    <w:p>
      <w:pPr>
        <w:spacing w:line="400" w:lineRule="exact"/>
        <w:ind w:left="0"/>
      </w:pPr>
      <w:r>
        <w:rPr>
          <w:rFonts w:eastAsia="宋体"/>
        </w:rPr>
        <w:t>[2] 郭震, 张宁伟, 闫秋艳, 高扬. 基于改进YOLOv8的火灾早期烟雾检测算法[J]. 湖南大学学报(自然科学版), 2026, 53(6): 36-49. DOI:10.16339/j.cnki.hdxbzkb.2026270.</w:t>
      </w:r>
    </w:p>
    <w:p>
      <w:pPr>
        <w:spacing w:line="400" w:lineRule="exact"/>
        <w:ind w:left="0"/>
      </w:pPr>
      <w:r>
        <w:rPr>
          <w:rFonts w:eastAsia="宋体"/>
        </w:rPr>
        <w:t>[3] 丁燕, 王磊, 袁英. 基于改进YOLOv8n模型的小目标火焰检测[J]. 安全与环境工程, 2026, 33(1): 169-180. DOI:10.13578/j.cnki.issn.1671-1556.20250088.</w:t>
      </w:r>
    </w:p>
    <w:p>
      <w:pPr>
        <w:spacing w:line="400" w:lineRule="exact"/>
        <w:ind w:left="0"/>
      </w:pPr>
      <w:r>
        <w:rPr>
          <w:rFonts w:eastAsia="宋体"/>
        </w:rPr>
        <w:t>[4] Liu S, Zeng Z, Ren T, et al. Grounding DINO: Marrying DINO with Grounded Pre-Training for Open-Set Object Detection[C]//European Conference on Computer Vision. Springer, 2024: 38-55. DOI:10.1007/978-3-031-72970-6_3.</w:t>
      </w:r>
    </w:p>
    <w:p>
      <w:pPr>
        <w:spacing w:line="400" w:lineRule="exact"/>
        <w:ind w:left="0"/>
      </w:pPr>
      <w:r>
        <w:rPr>
          <w:rFonts w:eastAsia="宋体"/>
        </w:rPr>
        <w:t>[5] Kirillov A, Mintun E, Ravi N, et al. Segment Anything[C]//Proceedings of the IEEE/CVF International Conference on Computer Vision. 2023: 4015-4026. DOI:10.1109/ICCV51070.2023.00371.</w:t>
      </w:r>
    </w:p>
    <w:p>
      <w:pPr>
        <w:spacing w:line="400" w:lineRule="exact"/>
        <w:ind w:left="0"/>
      </w:pPr>
      <w:r>
        <w:rPr>
          <w:rFonts w:eastAsia="宋体"/>
        </w:rPr>
        <w:t>[6] Ravi N, Gabeur V, Hu Y T, et al. SAM 2: Segment Anything in Images and Videos[C]//International Conference on Learning Representations. 2025.</w:t>
      </w:r>
    </w:p>
    <w:p>
      <w:pPr>
        <w:spacing w:line="400" w:lineRule="exact"/>
        <w:ind w:left="0"/>
      </w:pPr>
      <w:r>
        <w:rPr>
          <w:rFonts w:eastAsia="宋体"/>
        </w:rPr>
        <w:t>[7] Carion N, Gustafson L, Hu Y T, et al. SAM 3: Segment Anything with Concepts[C]//International Conference on Learning Representations. 2026.</w:t>
      </w:r>
    </w:p>
    <w:p>
      <w:pPr>
        <w:spacing w:line="400" w:lineRule="exact"/>
        <w:ind w:left="0"/>
      </w:pPr>
      <w:r>
        <w:rPr>
          <w:rFonts w:eastAsia="宋体"/>
        </w:rPr>
        <w:t>[8] Frénay B, Verleysen M. Classification in the Presence of Label Noise: A Survey[J]. IEEE Transactions on Neural Networks and Learning Systems, 2014, 25(5): 845-869. DOI:10.1109/TNNLS.2013.2292894.</w:t>
      </w:r>
    </w:p>
    <w:p>
      <w:pPr>
        <w:spacing w:line="400" w:lineRule="exact"/>
        <w:ind w:left="0"/>
      </w:pPr>
      <w:r>
        <w:rPr>
          <w:rFonts w:eastAsia="宋体"/>
        </w:rPr>
        <w:t>[9] Northcutt C G, Athalye A, Mueller J. Pervasive Label Errors in Test Sets Destabilize Machine Learning Benchmarks[C]//Proceedings of the Neural Information Processing Systems Track on Datasets and Benchmarks. 2021, 1.</w:t>
      </w:r>
    </w:p>
    <w:p>
      <w:pPr>
        <w:spacing w:line="400" w:lineRule="exact"/>
        <w:ind w:left="0"/>
      </w:pPr>
      <w:r>
        <w:rPr>
          <w:rFonts w:eastAsia="宋体"/>
        </w:rPr>
        <w:t>[10] Song H, Kim M, Park D, Shin Y, Lee J G. Learning From Noisy Labels With Deep Neural Networks: A Survey[J]. IEEE Transactions on Neural Networks and Learning Systems, 2023, 34(11): 8135-8153. DOI:10.1109/TNNLS.2022.3152527.</w:t>
      </w:r>
    </w:p>
    <w:p>
      <w:pPr>
        <w:spacing w:line="400" w:lineRule="exact"/>
        <w:ind w:left="0"/>
      </w:pPr>
      <w:r>
        <w:rPr>
          <w:rFonts w:eastAsia="宋体"/>
        </w:rPr>
        <w:t>[11] Cooper R G. Stage-Gate Systems: A New Tool for Managing New Products[J]. Business Horizons, 1990, 33(3): 44-54. DOI:10.1016/0007-6813(90)90040-I.</w:t>
      </w:r>
    </w:p>
    <w:p>
      <w:pPr>
        <w:spacing w:line="400" w:lineRule="exact"/>
        <w:ind w:left="0"/>
      </w:pPr>
      <w:r>
        <w:rPr>
          <w:rFonts w:eastAsia="宋体"/>
        </w:rPr>
        <w:t>[12] Miettinen K. Nonlinear Multiobjective Optimization[M]. Boston: Kluwer Academic Publishers, 1999.</w:t>
      </w:r>
    </w:p>
    <w:p>
      <w:pPr>
        <w:spacing w:line="400" w:lineRule="exact"/>
        <w:ind w:left="0"/>
      </w:pPr>
      <w:r>
        <w:rPr>
          <w:rFonts w:eastAsia="宋体"/>
        </w:rPr>
        <w:t>[13] Gebru T, Morgenstern J, Vecchione B, et al. Datasheets for Datasets[J]. Communications of the ACM, 2021, 64(12): 86-92. DOI:10.1145/3458723.</w:t>
      </w:r>
    </w:p>
    <w:p>
      <w:pPr>
        <w:spacing w:line="400" w:lineRule="exact"/>
        <w:ind w:left="0"/>
      </w:pPr>
      <w:r>
        <w:rPr>
          <w:rFonts w:eastAsia="宋体"/>
        </w:rPr>
        <w:t>[14] Mitchell M, Wu S, Zaldivar A, et al. Model Cards for Model Reporting[C]//Proceedings of the Conference on Fairness, Accountability, and Transparency. 2019: 220-229. DOI:10.1145/3287560.3287596.</w:t>
      </w:r>
    </w:p>
    <w:p>
      <w:pPr>
        <w:spacing w:line="400" w:lineRule="exact"/>
        <w:ind w:left="0"/>
      </w:pPr>
      <w:r>
        <w:rPr>
          <w:rFonts w:eastAsia="宋体"/>
        </w:rPr>
        <w:t>[15] Sculley D, Holt G, Golovin D, et al. Hidden Technical Debt in Machine Learning Systems[C]//Advances in Neural Information Processing Systems. 2015, 28: 2503-2511.</w:t>
      </w:r>
    </w:p>
    <w:p>
      <w:pPr>
        <w:spacing w:line="400" w:lineRule="exact"/>
        <w:ind w:left="0"/>
      </w:pPr>
      <w:r>
        <w:rPr>
          <w:rFonts w:eastAsia="宋体"/>
        </w:rPr>
        <w:t>[16] Huseljic D, Herde M, Hahn P, et al. Systematic Evaluation of Uncertainty Calibration in Pretrained Object Detectors[J]. International Journal of Computer Vision, 2025, 133: 1033-1047. DOI:10.1007/s11263-024-02219-z.</w:t>
      </w:r>
    </w:p>
    <w:p>
      <w:pPr>
        <w:spacing w:line="400" w:lineRule="exact"/>
        <w:ind w:left="0"/>
      </w:pPr>
      <w:r>
        <w:rPr>
          <w:rFonts w:eastAsia="宋体"/>
        </w:rPr>
        <w:t>[17] Joshi K, Li X, Windisch T, König M. From Detection to Segmentation: Combining Foundation Model with Bounding Boxes for Efficient Fire Detection[J]. Neurocomputing, 2025, 647: 130513. DOI:10.1016/j.neucom.2025.130513.</w:t>
      </w:r>
    </w:p>
    <w:p>
      <w:pPr>
        <w:spacing w:line="400" w:lineRule="exact"/>
        <w:ind w:left="0"/>
      </w:pPr>
      <w:r>
        <w:rPr>
          <w:rFonts w:eastAsia="宋体"/>
        </w:rPr>
        <w:t>[18] Cao Y, Yang F, Li X, et al. Refining the Granularity of Smoke Representation: SAM-Powered Density-Aware Progressive Smoke Segmentation Framework[J]. Pattern Recognition, 2026, 172: 112517. DOI:10.1016/j.patcog.2025.112517.</w:t>
      </w:r>
    </w:p>
    <w:p>
      <w:pPr>
        <w:spacing w:line="400" w:lineRule="exact"/>
        <w:ind w:left="0"/>
      </w:pPr>
      <w:r>
        <w:rPr>
          <w:rFonts w:eastAsia="宋体"/>
        </w:rPr>
        <w:t>[19] Lan L, Wang J, Wu X, et al. Continuous Review and Timely Correction: Enhancing the Resistance to Noisy Labels via Self-Not-True and Class-Wise Distillation[J]. IEEE Transactions on Pattern Analysis and Machine Intelligence, 2026, 48(5): 5165-5179. DOI:10.1109/TPAMI.2025.3649111.</w:t>
      </w:r>
    </w:p>
    <w:p>
      <w:pPr>
        <w:spacing w:line="400" w:lineRule="exact"/>
        <w:ind w:left="0"/>
      </w:pPr>
      <w:r>
        <w:rPr>
          <w:rFonts w:eastAsia="宋体"/>
        </w:rPr>
        <w:t>[20] Sun H, Yang L, Chen R, et al. Noise-Robust Tiny Object Localization with Flows[J]. Pattern Recognition, 2026, 175: 113041. DOI:10.1016/j.patcog.2026.113041.</w:t>
      </w:r>
    </w:p>
    <w:p>
      <w:pPr>
        <w:spacing w:line="400" w:lineRule="exact"/>
        <w:ind w:left="0"/>
      </w:pPr>
      <w:r>
        <w:rPr>
          <w:rFonts w:eastAsia="宋体"/>
        </w:rPr>
        <w:t>[21] Dinh T Q K, Thirion-Moreau N, Nguyen T P, Simon J J, Escoubas L. Multi-Scale Tiling for Pseudo-Labeling in Dense Scene Object Detection[J]. Pattern Recognition, 2026, 179: 113436. DOI:10.1016/j.patcog.2026.113436.</w:t>
      </w:r>
    </w:p>
    <w:p>
      <w:pPr>
        <w:spacing w:line="400" w:lineRule="exact"/>
        <w:ind w:left="0"/>
      </w:pPr>
      <w:r>
        <w:rPr>
          <w:rFonts w:eastAsia="宋体"/>
        </w:rPr>
        <w:t>[22] Kim M J, Munsif M, Hussain A, Yar H, Baik S W. Pseudo-Labeling Driven Refinement of Benchmark Object Detection Datasets via Analysis of Learning Patterns[J]. Neurocomputing, 2026, 677: 133046. DOI:10.1016/j.neucom.2026.133046.</w:t>
      </w:r>
    </w:p>
    <w:p>
      <w:pPr>
        <w:spacing w:line="400" w:lineRule="exact"/>
        <w:ind w:left="0"/>
      </w:pPr>
      <w:r>
        <w:rPr>
          <w:rFonts w:eastAsia="宋体"/>
        </w:rPr>
        <w:t>[23] Semmelrock H, Ross-Hellauer T, Kopeinik S, et al. Reproducibility in Machine-Learning-Based Research: Overview, Barriers, and Drivers[J]. AI Magazine, 2025, 46(2): e70002. DOI:10.1002/aaai.70002.</w:t>
      </w:r>
    </w:p>
    <w:p>
      <w:pPr>
        <w:spacing w:line="400" w:lineRule="exact"/>
        <w:ind w:left="0"/>
      </w:pPr>
      <w:r>
        <w:rPr>
          <w:rFonts w:eastAsia="宋体"/>
        </w:rPr>
        <w:t>[24] Fu W, Li J, Gao B B, et al. PET-DINO: Unifying Visual Cues into Grounding DINO with Prompt-Enriched Training[C]//Proceedings of the IEEE/CVF Conference on Computer Vision and Pattern Recognition. 2026: 13039-13048.</w:t>
      </w:r>
    </w:p>
    <w:p>
      <w:pPr>
        <w:spacing w:line="400" w:lineRule="exact"/>
        <w:ind w:left="0"/>
      </w:pPr>
      <w:r>
        <w:rPr>
          <w:rFonts w:eastAsia="宋体"/>
        </w:rPr>
        <w:t>[25] Burges M, Dias P A, Woody C, et al. Active Learning Meets Foundation Models: Fast Remote Sensing Data Annotation for Object Detection[C]//Proceedings of the IEEE/CVF International Conference on Computer Vision. 2025: 6058-6068.</w:t>
      </w:r>
    </w:p>
    <w:p>
      <w:pPr>
        <w:spacing w:line="400" w:lineRule="exact"/>
        <w:ind w:left="0"/>
      </w:pPr>
      <w:r>
        <w:rPr>
          <w:rFonts w:eastAsia="宋体"/>
        </w:rPr>
        <w:t>[26] ISO/IEC 5259-4:2024. Artificial Intelligence—Data Quality for Analytics and Machine Learning (ML)—Part 4: Data Quality Process Framework[S]. Geneva: ISO, 2024.</w:t>
      </w:r>
    </w:p>
    <w:p>
      <w:pPr>
        <w:spacing w:line="400" w:lineRule="exact"/>
        <w:ind w:left="0"/>
      </w:pPr>
      <w:r>
        <w:rPr>
          <w:rFonts w:eastAsia="宋体"/>
        </w:rPr>
        <w:t>[27] Tabassi E. Artificial Intelligence Risk Management Framework (AI RMF 1.0)[R]. NIST AI 100-1. Gaithersburg: NIST, 2023. DOI:10.6028/NIST.AI.100-1.</w:t>
      </w:r>
    </w:p>
    <w:p>
      <w:pPr>
        <w:spacing w:line="400" w:lineRule="exact"/>
        <w:ind w:left="0"/>
      </w:pPr>
      <w:r>
        <w:rPr>
          <w:rFonts w:eastAsia="宋体"/>
        </w:rPr>
        <w:t>[28] Amershi S, Begel A, Bird C, et al. Software Engineering for Machine Learning: A Case Study[C]//2019 IEEE/ACM 41st International Conference on Software Engineering: Software Engineering in Practice (ICSE-SEIP). IEEE, 2019: 291-300. DOI:10.1109/ICSE-SEIP.2019.00042.</w:t>
      </w:r>
    </w:p>
    <w:p>
      <w:pPr>
        <w:spacing w:line="400" w:lineRule="exact"/>
        <w:ind w:left="0"/>
      </w:pPr>
      <w:r>
        <w:rPr>
          <w:rFonts w:eastAsia="宋体"/>
        </w:rPr>
        <w:t>[29] Vial G, Cameron A F, Giannelia T, Jiang J. Managing Artificial Intelligence Projects: Key Insights from an AI Consulting Firm[J]. Information Systems Journal, 2023, 33(3): 669-691. DOI:10.1111/isj.12420.</w:t>
      </w:r>
    </w:p>
    <w:p>
      <w:pPr>
        <w:spacing w:line="400" w:lineRule="exact"/>
        <w:ind w:left="0"/>
      </w:pPr>
      <w:r>
        <w:rPr>
          <w:rFonts w:eastAsia="宋体"/>
        </w:rPr>
        <w:t>[30] Cheng B, et al. Boundary IoU: Improving Object-Centric Image Segmentation Evaluation[C]//Proceedings of the IEEE/CVF Conference on Computer Vision and Pattern Recognition. 2021: 15334-15342.</w:t>
      </w:r>
    </w:p>
    <w:p>
      <w:pPr>
        <w:spacing w:line="400" w:lineRule="exact"/>
        <w:ind w:left="0"/>
      </w:pPr>
      <w:r>
        <w:rPr>
          <w:rFonts w:eastAsia="宋体"/>
        </w:rPr>
        <w:t>[31] Zhang J, Li J, Lin X, et al. Toward Efficient Semi-Supervised Object Detection With Detection Transformer[J]. IEEE Transactions on Pattern Analysis and Machine Intelligence, 2026, 48(3): 3765-3782. DOI:10.1109/TPAMI.2025.3642123.</w:t>
      </w:r>
    </w:p>
    <w:p>
      <w:pPr>
        <w:spacing w:line="400" w:lineRule="exact"/>
        <w:ind w:left="0"/>
      </w:pPr>
      <w:r>
        <w:rPr>
          <w:rFonts w:eastAsia="宋体"/>
        </w:rPr>
        <w:t>[32] Allabadi G, Lucic A, Wang Y X, Adve V. Learning to Detect Novel Species with SAM in the Wild[J]. International Journal of Computer Vision, 2025, 133: 2247-2258. DOI:10.1007/s11263-024-02234-0.</w:t>
      </w:r>
    </w:p>
    <w:p>
      <w:pPr>
        <w:spacing w:line="400" w:lineRule="exact"/>
        <w:ind w:left="0"/>
      </w:pPr>
      <w:r>
        <w:rPr>
          <w:rFonts w:eastAsia="宋体"/>
        </w:rPr>
        <w:t>[33] Xin C, Hartel A, Kasneci E. DART: An Automated End-to-End Object Detection Pipeline with Data Diversification, Open-Vocabulary Bounding Box Annotation, Pseudo-Label Review, and Model Training[J]. Expert Systems with Applications, 2024, 258: 125124. DOI:10.1016/j.eswa.2024.125124.</w:t>
      </w:r>
    </w:p>
    <w:p>
      <w:pPr>
        <w:spacing w:line="400" w:lineRule="exact"/>
        <w:ind w:left="0"/>
      </w:pPr>
      <w:r>
        <w:rPr>
          <w:rFonts w:eastAsia="宋体"/>
        </w:rPr>
        <w:t>[34] Shehzadi T, Hashmi K A, Sarode S, Stricker D, Afzal M Z. STEP-DETR: Advancing DETR-Based Semi-Supervised Object Detection with Super Teacher and Pseudo-Label Guided Text Queries[C]//Proceedings of the IEEE/CVF International Conference on Computer Vision. 2025: 3069-3079. DOI:10.1109/ICCV51701.2025.00294.</w:t>
      </w:r>
    </w:p>
    <w:p>
      <w:pPr>
        <w:pStyle w:val="Heading1"/>
      </w:pPr>
      <w:r>
        <w:rPr>
          <w:rFonts w:eastAsia="Noto Serif CJK SC" w:ascii="Noto Serif CJK SC" w:hAnsi="Noto Serif CJK SC" w:cs="Noto Serif CJK SC"/>
        </w:rPr>
        <w:t>附录A 开题后正式实验执行清单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</w:tcPr>
          <w:p>
            <w:pPr>
              <w:jc w:val="center"/>
            </w:pPr>
            <w:r>
              <w:rPr>
                <w:rFonts w:eastAsia="宋体"/>
                <w:b/>
              </w:rPr>
              <w:t>编号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eastAsia="宋体"/>
                <w:b/>
              </w:rPr>
              <w:t>执行事项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eastAsia="宋体"/>
                <w:b/>
              </w:rPr>
              <w:t>完成标准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A1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语义提示冻结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完成候选粗筛、Top候选复筛；固定fire/smoke提示、score threshold、prompt_id与配置指纹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A2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正式E0/E1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统一YOLO超参数；E0/E1各≥3 seeds；计算均值、Std、RM与历史Pilot可比结果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A3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V1数据质量诊断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分fire/smoke统计missing、FP、over/under-box、many-to-one、小目标；输出错误占比与典型图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A4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Verifier三档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默认保留V1、强证据否决；宽松/基准/严格只在Development/Validation选择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A5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Reject人工抽检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抽取被删除框，统计真实FP比例与真目标误删率；误删过高则收紧否决条件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A6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Append安全门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SAM3新增目标先存candidate；抽检≥300候选或预注册样本量；Precision不过门不全量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A7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IoF边界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在Development比较候选IoF阈值；审核rejected_by_iof，禁止用隔离测试集选阈值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A8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Refiner停止门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除非新规范预注册且同时改善几何与YOLO效用，否则不再全量重定位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A9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正式V2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仅通过G2/G3的候选生成正式V2；当前优先Verifier-only验证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A10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多seed与一次性测试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E0/E1/最终V2至少3 seeds；方案冻结后一次性隔离测试；按类别/尺度/来源分层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A11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投入/Pareto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汇总人工、GD/SAM3 GPU小时、抽检、返工和周期；完成1k/10k/100k情景与Pareto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A12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论文写作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所有结论区分“已证实/待验证/已停止”；避免自动进化、全自动替代、首创性等超证据表述</w:t>
            </w:r>
          </w:p>
        </w:tc>
      </w:tr>
    </w:tbl>
    <w:p>
      <w:pPr>
        <w:pStyle w:val="Heading1"/>
      </w:pPr>
      <w:r>
        <w:rPr>
          <w:rFonts w:eastAsia="Noto Serif CJK SC" w:ascii="Noto Serif CJK SC" w:hAnsi="Noto Serif CJK SC" w:cs="Noto Serif CJK SC"/>
        </w:rPr>
        <w:t>附录B 最小可追溯字段与实验记录模板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</w:tcPr>
          <w:p>
            <w:pPr>
              <w:jc w:val="center"/>
            </w:pPr>
            <w:r>
              <w:rPr>
                <w:rFonts w:eastAsia="宋体"/>
                <w:b/>
              </w:rPr>
              <w:t>字段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eastAsia="宋体"/>
                <w:b/>
              </w:rPr>
              <w:t>含义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eastAsia="宋体"/>
                <w:b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dataset_version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训练/开发/测试数据版本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必填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source_group_id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原视频/来源/采集组标识，用于防泄漏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必填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prompt_id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语义提示版本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必填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threshold_config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Grounding DINO/SAM3相关阈值配置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必填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label_version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GT/V1/V2候选标签版本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必填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pipeline_id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S0/S1/S2/S3等流程方案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必填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train_run_id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YOLO训练实例ID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必填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seed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随机种子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必填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model_weight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模型权重/版本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必填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gpu_hours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本步骤GPU时间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human_hours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人工逐框/抽检时间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reject_count / append_count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Verifier拒绝数/Append新增数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按方案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test_report_id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验证/隔离测试报告ID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必填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gate_result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Go/Hold/Stop及证据摘要</w:t>
            </w:r>
          </w:p>
        </w:tc>
        <w:tc>
          <w:tcPr>
            <w:tcW w:type="dxa" w:w="3324"/>
            <w:vAlign w:val="center"/>
          </w:tcPr>
          <w:p>
            <w:pPr/>
            <w:r>
              <w:rPr>
                <w:rFonts w:eastAsia="宋体"/>
              </w:rPr>
              <w:t>必填</w:t>
            </w:r>
          </w:p>
        </w:tc>
      </w:tr>
    </w:tbl>
    <w:p>
      <w:r>
        <w:rPr>
          <w:rFonts w:eastAsia="宋体"/>
        </w:rPr>
        <w:t>建议每个正式run同时保存：命令行或配置文件、代码commit、数据清单哈希、标签统计摘要、训练日志、最佳权重、测试结果JSON和Gate结论。论文表格中的每一行结果均引用train_run_id与test_report_id。</w:t>
      </w:r>
    </w:p>
    <w:p>
      <w:pPr>
        <w:pStyle w:val="Heading1"/>
        <w:pageBreakBefore/>
      </w:pPr>
      <w:r>
        <w:rPr>
          <w:rFonts w:eastAsia="Noto Serif CJK SC" w:ascii="Noto Serif CJK SC" w:hAnsi="Noto Serif CJK SC" w:cs="Noto Serif CJK SC"/>
        </w:rPr>
        <w:t>附录C 最新实验原始结果汇总</w:t>
      </w:r>
    </w:p>
    <w:p>
      <w:r>
        <w:rPr>
          <w:rFonts w:eastAsia="宋体"/>
        </w:rPr>
        <w:t>本附录用于确保开题报告中的阶段性结论可追溯到原始记录。正文采用多seed均值判断E2A方向，不以某个单次最优结果替代稳定性证据。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</w:tcPr>
          <w:p>
            <w:pPr>
              <w:jc w:val="center"/>
            </w:pPr>
            <w:r>
              <w:rPr>
                <w:rFonts w:eastAsia="宋体"/>
                <w:b/>
              </w:rPr>
              <w:t>记录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eastAsia="宋体"/>
                <w:b/>
              </w:rPr>
              <w:t>P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eastAsia="宋体"/>
                <w:b/>
              </w:rPr>
              <w:t>R</w:t>
            </w:r>
          </w:p>
        </w:tc>
      </w:tr>
    </w:tbl>
    <w:sectPr w:rsidR="00FC693F" w:rsidRPr="0006063C" w:rsidSect="00034616">
      <w:pgSz w:w="12240" w:h="15840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00" w:lineRule="exact"/>
      <w:outlineLvl w:val="0"/>
    </w:pPr>
    <w:rPr>
      <w:rFonts w:asciiTheme="majorHAnsi" w:eastAsiaTheme="majorEastAsia" w:hAnsiTheme="majorHAnsi" w:cstheme="majorBidi" w:ascii="Noto Serif CJK SC" w:hAnsi="Noto Serif CJK SC" w:eastAsia="Noto Serif CJK SC" w:cs="Noto Serif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00" w:lineRule="exact"/>
      <w:outlineLvl w:val="1"/>
    </w:pPr>
    <w:rPr>
      <w:rFonts w:asciiTheme="majorHAnsi" w:eastAsiaTheme="majorEastAsia" w:hAnsiTheme="majorHAnsi" w:cstheme="majorBidi" w:ascii="Noto Serif CJK SC" w:hAnsi="Noto Serif CJK SC" w:eastAsia="Noto Serif CJK SC" w:cs="Noto Serif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400" w:lineRule="exact"/>
      <w:contextualSpacing/>
    </w:pPr>
    <w:rPr>
      <w:rFonts w:asciiTheme="majorHAnsi" w:eastAsiaTheme="majorEastAsia" w:hAnsiTheme="majorHAnsi" w:cstheme="majorBidi" w:ascii="Noto Serif CJK SC" w:hAnsi="Noto Serif CJK SC" w:eastAsia="Noto Serif CJK SC" w:cs="Noto Serif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