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61C03">
      <w:pPr>
        <w:pStyle w:val="2"/>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东北财经大学工程管理硕士（MEM）学位论文开题报告</w:t>
      </w:r>
    </w:p>
    <w:p w14:paraId="7C54B59E">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面向火烟目标检测训练数据生产的双教师伪标签质量管理与资源配置研究</w:t>
      </w:r>
    </w:p>
    <w:p w14:paraId="2724634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——基于 Grounding DINO、SAM3 与 YOLO 下游效用验证</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95"/>
        <w:gridCol w:w="4615"/>
      </w:tblGrid>
      <w:tr w14:paraId="3CB22E3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7CE5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项目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86734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内容</w:t>
            </w:r>
          </w:p>
        </w:tc>
      </w:tr>
      <w:tr w14:paraId="09B5739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50ACB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专业学位类别</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6362D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工程管理硕士（MEM）</w:t>
            </w:r>
          </w:p>
        </w:tc>
      </w:tr>
      <w:tr w14:paraId="6EFFB22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2261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研究方向</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D6538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人工智能训练数据质量管理与工程资源配置</w:t>
            </w:r>
          </w:p>
        </w:tc>
      </w:tr>
      <w:tr w14:paraId="1B256F1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39C191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学生姓名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21320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________________</w:t>
            </w:r>
          </w:p>
        </w:tc>
      </w:tr>
      <w:tr w14:paraId="601B608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9C2C9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学号</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CC84CC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________________</w:t>
            </w:r>
          </w:p>
        </w:tc>
      </w:tr>
      <w:tr w14:paraId="74CB8A7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FFAA3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指导教师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39AC5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________________</w:t>
            </w:r>
          </w:p>
        </w:tc>
      </w:tr>
      <w:tr w14:paraId="3CC0CFA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36EAE09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开题日期</w:t>
            </w:r>
          </w:p>
        </w:tc>
        <w:tc>
          <w:tcPr>
            <w:tcW w:w="0" w:type="auto"/>
            <w:tcBorders>
              <w:top w:val="single" w:color="auto" w:sz="2" w:space="0"/>
              <w:left w:val="single" w:color="auto" w:sz="2" w:space="0"/>
              <w:bottom w:val="nil"/>
              <w:right w:val="single" w:color="auto" w:sz="2" w:space="0"/>
            </w:tcBorders>
            <w:shd w:val="clear"/>
            <w:vAlign w:val="center"/>
          </w:tcPr>
          <w:p w14:paraId="5E4E13E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2026年8月</w:t>
            </w:r>
          </w:p>
        </w:tc>
      </w:tr>
    </w:tbl>
    <w:p w14:paraId="1628817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关键词：</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训练数据生产；双教师；伪标签；数据质量；标注生产成本；Stage-Gate；Pareto资源配置</w:t>
      </w:r>
    </w:p>
    <w:p w14:paraId="2BE0CF9C">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6787300">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目 录</w:t>
      </w:r>
    </w:p>
    <w:p w14:paraId="2115083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一、研究背景、课题来源与研究意义 二、国内外研究现状与文献综述 三、研究目标、核心研究问题与概念边界 四、理论基础与双教师工程管理研究框架 五、研究设计、数据方案与实验方法 六、前期实验基础与阶段性结论 七、标注生产成本、规模情景与升级/停止规则 八、创新点、可行性与风险控制 九、研究计划与预期成果 十、论文拟定目录 十一、主要参考文献 附录A 开题后正式实验执行清单 附录B 最小可追溯字段与实验记录模板 附录C 最新实验原始结果汇总</w:t>
      </w:r>
    </w:p>
    <w:p w14:paraId="3029A8A3">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8042DDC">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一、研究背景、课题来源与研究意义</w:t>
      </w:r>
    </w:p>
    <w:p w14:paraId="142CC0B0">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1.1 研究背景</w:t>
      </w:r>
    </w:p>
    <w:p w14:paraId="18AE681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14:paraId="4F8B78E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传统人工逐框标注能够提供较高质量的监督信息，但工时随数据规模近似线性增长，并伴随复核、返工和一致性管理成本。开放词汇视觉基础模型为"自然语言语义提示冷启动标签"提供了新路径。Grounding DINO能够根据类别名称或短语进行开放集目标检测[4]；SAM、SAM2以及SAM3进一步扩展了提示分割和概念分割能力[5-7]。这使"基础模型生成—质量审核—下游学生模型验证"的自动训练数据生产流程具备可行性。</w:t>
      </w:r>
    </w:p>
    <w:p w14:paraId="4CD5F9C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然而，基础模型输出不等价于高质量训练标签。语义提示语义、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14:paraId="6A70FF9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1.2 课题来源与现实工程矛盾</w:t>
      </w:r>
    </w:p>
    <w:p w14:paraId="37B83C1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14:paraId="7B080B4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数据规模持续增长与人工逐框标注周期之间的矛盾：需要降低新增训练数据的生产时间。</w:t>
      </w:r>
    </w:p>
    <w:p w14:paraId="343FA24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开放词汇模型可直接生成候选框与语义提示敏感性之间的矛盾：需要建立低预算、可冻结、可复现的语义提示选择机制。</w:t>
      </w:r>
    </w:p>
    <w:p w14:paraId="3AB0B5A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第二教师可能改善标签与可能产生负向修改之间的矛盾：需要把SAM3角色拆分为"审核、补漏、重定位"，通过实验决定Go/Hold/Stop，而不是预设其必然有效。</w:t>
      </w:r>
    </w:p>
    <w:p w14:paraId="3FF6687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当前单次推理与训练耗时很短，但工程规模和迭代次数可能持续扩大：需要将管理重点从"单次GPU费用"转向"人工替代、标注生产成本、规模效应、重训返工和版本治理"。</w:t>
      </w:r>
    </w:p>
    <w:p w14:paraId="5C6608E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14:paraId="0E13925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图1 研究问题来源与演进逻辑</w:t>
      </w:r>
    </w:p>
    <w:p w14:paraId="443A6271">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1.3 研究意义</w:t>
      </w:r>
    </w:p>
    <w:p w14:paraId="7B5D5FAE">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1.3.1 理论与方法意义</w:t>
      </w:r>
    </w:p>
    <w:p w14:paraId="2E8BEC5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的关注相衔接[8-12]，但进一步把"标签几何更漂亮"与"学生模型真正受益"区分开。</w:t>
      </w:r>
    </w:p>
    <w:p w14:paraId="0B4EFEC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第二，把语义提示从经验文本输入重新定义为自动数据生产的工程参数，通过独立语义提示评测、阈值扫描、定位指标和冻结规则降低语义冷启动的不稳定性。</w:t>
      </w:r>
    </w:p>
    <w:p w14:paraId="5B53A30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第三，把双教师角色分配不对称：Grounding DINO拥有初始检测与定位权，SAM3作为审核教师先证明边际价值，再决定是否获得补漏或重定位权限。</w:t>
      </w:r>
    </w:p>
    <w:p w14:paraId="204ACC61">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1.3.2 工程实践意义</w:t>
      </w:r>
    </w:p>
    <w:p w14:paraId="4CF7E44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烟和火属于非刚性物体，且形态多变并伴随着共生遮掩的现象，因此对于纯人工标注而言，即使有一定的规则约束也会有不同标注人员主观意识判断不同的问题产生，一定程度上增加了标注的难度以及时长，并且由于标注风格不同也会导致下游检测模型的性能劣化。本研究有望减少火烟训练数据对全量人工逐图标注的依赖，并且大模型的稳定性保障了标注规则的统一的同时缩短从原始图像到可训练标签的周期。当前工程观测表明，Grounding DINO批量生成标签约12 min，SAM3批量审核约13 min，YOLO单次训练约0.31 h、通常在约0.5 h量级。相对于历史人工标注约4808 min/2404张的观测，自动生产已经从"小时—天"压缩到"分钟—小时"量级。</w:t>
      </w:r>
    </w:p>
    <w:p w14:paraId="5274583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14:paraId="4FBA31B7">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1.3.3 工程管理意义</w:t>
      </w:r>
    </w:p>
    <w:p w14:paraId="74296FF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本研究把自动伪标签视为可治理的数据产品，而不是算法中间变量。结合标注生产成本核算、Stage-Gate阶段门、Pareto多目标决策与AI数据治理理念[21-29, 33-34]，将语义提示冻结、人工参考集、第二教师审核、重训返工、测试泄漏、版本追溯等活动纳入统一的工程管理框架，重点回答"人工逐框标注"与"自动化伪标签生产"在不同数据规模下的资源消耗差异与方案选择边界。</w:t>
      </w:r>
    </w:p>
    <w:p w14:paraId="235E42C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由于当前各计算步骤本身很快，管理分析不把"几分钟GPU时间差"作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14:paraId="17E04E24">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462F652">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二、国内外研究现状与文献综述</w:t>
      </w:r>
    </w:p>
    <w:p w14:paraId="0F2CE0B7">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2.1 火焰与烟雾视觉检测研究</w:t>
      </w:r>
    </w:p>
    <w:p w14:paraId="77A1AA3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火烟视觉检测已由颜色、纹理和运动特征逐步转向深度学习目标检测。近年来国内研究较多基于YOLO框架，通过轻量化颈部、注意力机制、多尺度特征融合、切片推理和小目标检测头改善复杂背景中的火焰与烟雾识别[1-3]。这类研究证明轻量检测器可以满足实时性要求，但其训练通常依赖人工逐框标注数据，研究重点也主要落在网络结构改进与推理精度提升，训练数据的生产效率、标签一致性与版本治理相对不足。</w:t>
      </w:r>
    </w:p>
    <w:p w14:paraId="7F6E2CC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值得指出的是，火焰与烟雾属于典型的非刚性目标：形态随时间剧烈变化，边界不存在清晰的物理轮廓，且火与烟常呈共生遮掩关系。这一特性使得标注者之间、甚至同一标注者在不同时刻对同一目标的框定结果都可能存在系统性偏差。已有研究表明，标注风格的不一致性会直接传导为下游检测模型的性能波动[13-15]。因此，火烟检测研究的瓶颈不仅在于模型架构本身，更在于如何在非刚性边界条件下建立稳定、可复现的训练数据生产机制。</w:t>
      </w:r>
    </w:p>
    <w:p w14:paraId="68A59AF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2.2 开放词汇检测与语义提示驱动视觉基础模型</w:t>
      </w:r>
    </w:p>
    <w:p w14:paraId="37CA7A1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Grounding DINO通过语言—视觉紧密融合实现开放集目标检测，支持以类别名称或描述短语检测任意概念[4]。SAM（Segment Anything）建立了可提示分割范式[5]，SAM2扩展到图像与视频的统一提示分割[6]，SAM3进一步引入概念提示下的检测、分割与跟踪能力[7]。这些基础模型使无标注数据冷启动成为可能。</w:t>
      </w:r>
    </w:p>
    <w:p w14:paraId="1CDCAC1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然而，基础模型在具体任务中的表现高度依赖于语义提示（text prompt）的措辞、置信度阈值和尺度分布。不同提示词在同一类别上可能产生显著不同的召回率与定位精度[4]。在工程实践中，这意味着语义提示并非一次性文本输入，而是需要经历"候选构建—独立评测—阈值扫描—版本冻结"的参数化控制过程，才能作为稳定生产配置使用。目前，将语义提示视为可冻结工程参数并建立系统化选择与冻结机制的研究尚不多见，多数工作仍以通用基准上的默认配置为准，缺少面向特定垂直任务的低预算提示词校准流程。这一缺口为后续将语义提示Benchmark作为预防性质量控制手段提供了研究空间。</w:t>
      </w:r>
    </w:p>
    <w:p w14:paraId="2520C341">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2.3 伪标签与半监督目标检测研究</w:t>
      </w:r>
    </w:p>
    <w:p w14:paraId="4CC0A7B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伪标签是半监督学习的重要路径。Pseudo-Label、Mean Teacher、FixMatch等方法通过高置信预测和一致性机制利用无标注样本[8, 12, 35]。在目标检测领域，Unbiased Teacher、Soft Teacher、Dense Teacher等工作进一步研究了伪框偏差、教师置信度、框回归可靠性和密集伪标签问题[9-11]。</w:t>
      </w:r>
    </w:p>
    <w:p w14:paraId="7068CB4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现有研究揭示了一个关键事实：伪标签的数量与质量存在权衡，高置信度过滤能够抑制噪声，但阈值过高会造成召回损失；教师模型更强并不自动意味着所有伪标签操作都会提高学生模型[9-11]。换言之，教师模型的介入方式（审核、补漏、重定位）比教师模型本身的能力更决定最终效用。这一认识为将第二教师角色拆分为"验证、增补、精细化"并分别设置准入门槛提供了直接的理论动机。</w:t>
      </w:r>
    </w:p>
    <w:p w14:paraId="3C7E603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此外，上述工作多关注教师—学生之间的知识传递机制，较少讨论当两个异构基础模型级联时，如何界定各自的操作权限——即哪个模型拥有定位权、哪个模型仅拥有审核权。这一权限分配问题在工程生产中直接决定了级联系统是改善还是退化，也是后续引入权限解耦设计的直接动因。</w:t>
      </w:r>
    </w:p>
    <w:p w14:paraId="00E498B9">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2.4 标签质量、标注噪声与非刚性目标的边界模糊性</w:t>
      </w:r>
    </w:p>
    <w:p w14:paraId="5196F5F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数据质量研究表明，训练集和测试集中的标签错误会影响模型性能与评价稳定性[13-18]。针对目标检测，漏标、错误类别、框偏移、框尺度不一致和实例粒度差异会分别影响分类、目标存在性判断与回归学习。2024—2026年的研究进一步从数据中心视角系统讨论了目标检测标注错误分类及其性能影响[13-15]。</w:t>
      </w:r>
    </w:p>
    <w:p w14:paraId="18132D9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对于火焰、烟雾等非刚性目标，标签质量问题具有特殊性。由于目标边界不存在清晰的物理轮廓，不同标注者对同一目标的框定松紧程度（即"标注风格"）可能存在系统性差异。Northcutt等[16]已证明测试集中普遍存在的标签错误会扰乱模型基准评价；Ma等[15]进一步指出，标注质量的改善并不总是线性转化为检测性能提升，其中边界定义的不一致性是重要干扰因素。这意味着：当自动生成的伪标签在几何上更贴合目标的物理边缘时，若人工标注的参考标准本身偏"宽松"，则自动标签可能在mAP指标上遭受"风格伪惩罚"，而实际上并非真正的质量退化。</w:t>
      </w:r>
    </w:p>
    <w:p w14:paraId="6E14B18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因此，自动标签质量不应只用IoU或教师置信度评价，还需要观察学生模型在冻结测试集上的Precision、Recall、</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与</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:0.95变化，并辅以边界扰动敏感性分析来区分"真实质量差距"与"标注风格偏差"。这一点与本研究前期结果高度一致：SAM3将mask直接转换为检测框时，视觉边界可能更贴合分割目标，但下游YOLO的</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:0.95显著下降，说明"分割结构更细"并不等价于"检测监督更合适"。本研究将"下游效用"作为标签质量的最终判据。</w:t>
      </w:r>
    </w:p>
    <w:p w14:paraId="51FCB7C5">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2.5 多模型协同与双教师角色边界</w:t>
      </w:r>
    </w:p>
    <w:p w14:paraId="281D63F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教师—学生和多模型协同通常强调更强教师为学生提供监督，但工程生产中的基础模型具有异构能力：开放词汇检测器擅长语义定位与全局召回，概念分割模型擅长区域结构与像素级语义，两者的错误模式并不相同。若简单级联而不界定各自的操作边界，第二模型可能修正第一模型，也可能因目标粒度不一致产生负向修改。</w:t>
      </w:r>
    </w:p>
    <w:p w14:paraId="54E5DE8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在软件工程与系统集成领域，"权限分离"（Separation of Privileges）和"最小权限原则"（Principle of Least Privilege）是降低级联系统风险的经典设计准则。将这一思想引入多模型数据生产，意味着应当明确：哪个模型拥有初始定位权，哪个模型仅拥有审核否决权，哪个模型不得修改已有输出。这种"角色解耦"设计能够从系统底层防止第二教师对已正确标签的破坏性干预。</w:t>
      </w:r>
    </w:p>
    <w:p w14:paraId="77C1FC7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此外，多模型协同中的"保守策略"——即默认信任主模型输出，仅在强证据出现时才进行修改——在集成学习与模型融合文献中亦有体现。Dense Teacher[11]和Soft Teacher[10]的研究均表明，过于激进的伪标签修正会引入额外噪声。这为采用"非fire旁路、强证据否决"的保守Verifier策略提供了方法论依据：第二教师的默认行为是"不干预"，只有在满足预设的强证据条件时才行使否决权。</w:t>
      </w:r>
    </w:p>
    <w:p w14:paraId="13D25D6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2.6 AI训练数据质量与可追溯治理</w:t>
      </w:r>
    </w:p>
    <w:p w14:paraId="4FD6A20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机器学习数据质量已经从单纯数据清洗扩展到全生命周期管理。Datasheets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w:t>
      </w:r>
    </w:p>
    <w:p w14:paraId="48A46A8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这些研究与标准共同说明，训练数据项目不仅需要"结果指标"，还需要来源、版本、阈值、处理路径和评估记录的完整可追溯性。在自动标签生产场景中，追溯链至少应覆盖：图像来源与版本、语义提示配置与冻结记录、主教师模型与阈值、第二教师调用状态与审核结论、最终标签版本、下游训练实例与测试报告。缺少任何一环，都将使质量问题的回溯定位和版本回滚无法实现。</w:t>
      </w:r>
    </w:p>
    <w:p w14:paraId="329D051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2.7 标注生产成本、Stage-Gate与Pareto资源决策</w:t>
      </w:r>
    </w:p>
    <w:p w14:paraId="6669AB9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在AI训练数据生产语境下，资源核算的核心对象是</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标注生产成本</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，即从原始图像到可训练标签所消耗的人工工时与计算资源。与传统制造业不同，数据标注的成本结构具有两个特征：一是人工标注的边际成本近似恒定（约2 min/张），不随熟练度显著提升而下降；二是自动化生产的边际成本极低（秒级/张），但需要一次性投入配置与调参的固定成本。因此，成本比较的关键不在于"某一次推理的GPU费用"，而在于"人工全量生产"与"自动化流水线生产"在不同数据规模下的总资源消耗差异，以及自动化管线中引入第二教师所带来的边际增量成本是否被其质量收益所覆盖。</w:t>
      </w:r>
    </w:p>
    <w:p w14:paraId="5684F30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Stage-Gate方法将项目划分为阶段和决策门，在每一门点依据定量证据决定继续（Go）、暂停（Hold）或停止（Stop），避免后续阶段持续消耗资源[28-29]。在研发管理实践中，Stage-Gate的有效性依赖于"预注册式"（Pre-registered）决策规则：即在实验开始前明确各门点的通过标准与终止条件，而非在结果出现后事后调整判据。这种预注册机制能够有效遏制"承诺升级"（Escalation of Commitment）偏差，确保无效路径被及时终止。将这一思想引入多教师级联数据生产，意味着第二教师的每一种角色（验证、补漏、重定位）都应在进入全量生产前通过独立的门点检验，不满足门槛即触发停止。</w:t>
      </w:r>
    </w:p>
    <w:p w14:paraId="6DA26AF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Pareto与多目标优化适用于同时考虑性能、成本和周期的非支配决策[33-34]。在训练数据生产中，不存在适用于全部数据规模和全部业务目标的"唯一最优方案"：小规模高质量参考集、中等规模敏捷迭代和大规模持续生产对质量、成本和周期的权重分配截然不同。因此，资源配置决策应在"标签质量/下游效用"与"标签生产资源"两个目标之间寻找Pareto前沿，并结合数据规模（千张、万张、十万张）和业务情景（质量优先、周期优先、吞吐优先）给出差异化的方案选择边界，而非追求单一加权总分排序。</w:t>
      </w:r>
    </w:p>
    <w:p w14:paraId="2C35104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2.8 文献评述与研究缺口</w:t>
      </w:r>
    </w:p>
    <w:p w14:paraId="04BACA0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综合现有研究，传统工程管理理论与前沿AI数据工程之间存在三个核心衔接缺口：</w:t>
      </w:r>
    </w:p>
    <w:p w14:paraId="3A5E196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缺口一：非刚性目标数据生产的工程管理视角缺失。</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火烟检测研究长期呈现"重模型架构、轻数据资产生产流程"的失衡状态。现有工作多聚焦于网络结构改进与推理精度提升，缺乏对非刚性目标条件下标注风格分歧、边界模糊性和数据生产全生命周期的系统工程管理。</w:t>
      </w:r>
    </w:p>
    <w:p w14:paraId="047B560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缺口二：异构基础模型级联的自适应阻断机制匮乏。</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尽管开放词汇与多模态大模型赋予了零样本/冷启动能力，但如何将这些异构模型的级联调用转化为可量化、可及时终止的自适应阶段门径流程——特别是如何界定各模型的操作权限（定位权、审核权、补漏权）并在证据不足时触发停止——仍缺乏低预算、可复现的工程范式。</w:t>
      </w:r>
    </w:p>
    <w:p w14:paraId="45B9F53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缺口三：标注生产成本与规模化资源配置的实证链条断裂。</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既有AI治理研究多停留在宏观合规与风险框架层面，而在微观视觉数据工程中，如何将人工协同、GPU算力消耗、自动化审计、返工迭代与下游模型性能统一纳入标注生产成本核算与Pareto决策模型，特别是在"千—万—十万"不同数据规模下如何进行成本外推与方案选择，尚缺乏稳健的实证证据链。</w:t>
      </w:r>
    </w:p>
    <w:p w14:paraId="2D7BF8F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本文的贡献不定位为提出新的基础模型网络结构，而是将"语义提示冻结—主教师生产—审核教师门控—学生模型效用验证—标注生产成本核算—阶段门决策—追溯链治理"组织为完整的工程管理研究对象，并利用真实实验检验各环节是否值得保留。</w:t>
      </w:r>
    </w:p>
    <w:p w14:paraId="47FAB458">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876E1DA">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三、研究目标、核心研究问题与概念边界</w:t>
      </w:r>
    </w:p>
    <w:p w14:paraId="5FFC370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3.1 总体研究目标</w:t>
      </w:r>
    </w:p>
    <w:p w14:paraId="5AA954B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本研究面向火烟等非刚性目标检测训练数据生产，依托Grounding DINO、SAM3与YOLO构建异构基础模型级联的自动化标签生产系统，建立一套涵盖"低预算语义提示冻结—主教师标签生成—下游效用基线确立—边界扰动与噪声多维诊断—自动化审计门槛控制—多模型权限解耦与协同升级—全过程可追溯"的集成化数据工程管理体系，并通过真实实验验证其技术可行性与管理有效性。</w:t>
      </w:r>
    </w:p>
    <w:p w14:paraId="0B82C4E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具体目标包括：</w:t>
      </w:r>
    </w:p>
    <w:p w14:paraId="5A573FE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配置规范化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。建立低预算、序贯激活的语义提示基准（Prompt Benchmark），通过"独立评测—mAP/AP75主排序—阈值稳定区间—版本硬冻结"的参数化流程，实现主教师模型配置的低成本解耦与动态冻结，降低开放词汇模型在特定火烟任务中的输出不稳定性。该目标对应第4章所述的预防性配置控制逻辑。</w:t>
      </w:r>
    </w:p>
    <w:p w14:paraId="5A61294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缺口量化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提出边界扰动敏感性审计与模型-测试集冲突仲裁机制，量化剥离测试集噪声导致的性能折损率，定量表征主教师伪标签相对人工黄金标准的下游效用保留率，系统识别并分类非刚性目标的漏检、误检及空间定位偏差。该目标为第4章CI-DI双轨质量评价提供实证输入。</w:t>
      </w:r>
    </w:p>
    <w:p w14:paraId="5CC80AF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角色抽象化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定义辅助教师模型（SAM3）在自动化审计中的验证（Verifier）、增补（Append）与精细化（Refiner）三类管理角色；实施严格的权限解耦——剥离定位修改权，仅赋予语义审核权——重点验证基于IoF（交前比）包含率过滤与保守Verifier策略下"仅验证"控制路径的边际效用。该目标直接服务于第4章Stage-Gate各门点的Go/Hold/Stop判定。</w:t>
      </w:r>
    </w:p>
    <w:p w14:paraId="0DA274A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（4）</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决策规模化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建立纯标注环节绝对成本剥离与解耦核算方法（隔离下游训练沉没成本），构建面向"千—万—十万"数量级图像的场景外推模型，对比人工逐框标注工时与自动化生产算力消耗，推导出业务情景驱动的Pareto最优选型矩阵。</w:t>
      </w:r>
    </w:p>
    <w:p w14:paraId="7B05D6A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（5）</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追溯标准化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。确立涵盖"数据版本—提示词ID—标签版本—流水线ID—训练实例—测试报告"的最小粒度数据追溯链（Minimum Traceability Chain, MTC），推动火烟数据生产向"标准化、权限不对称、可自适应阻断"的工业化流水线范式跨越。该目标对接ISO/IEC 5259系列数据治理要求[21-24]与Datasheets for Datasets文档化规范[19]。</w:t>
      </w:r>
    </w:p>
    <w:p w14:paraId="553F515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3.2 核心研究问题</w:t>
      </w:r>
    </w:p>
    <w:p w14:paraId="65AECBC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RQ1（冷启动与配置：低预算语义提示冻结）</w:t>
      </w:r>
    </w:p>
    <w:p w14:paraId="7A258A5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有限的开发样本与算力预算约束下，如何通过"独立评测—mAP/AP75主排序—阈值稳定区间—版本硬冻结"的序贯控制，将经验文本输入转化为可冻结的低预算语义提示Benchmark与自适应置信度阈值，以抑制开放词汇模型在特定火烟长尾任务中的不稳定性？</w:t>
      </w:r>
    </w:p>
    <w:p w14:paraId="526AAD1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该问题的管理学实质是：如何将语义提示选择从不可复现的经验判断转化为受控的工程参数配置过程，从而降低后续生产中的配置漂移与返工风险。</w:t>
      </w:r>
    </w:p>
    <w:p w14:paraId="2246C54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RQ2（效用与质量缺口：边界扰动敏感性审计）</w:t>
      </w:r>
    </w:p>
    <w:p w14:paraId="763B15B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由主教师模型（Grounding DINO）生成的伪标签在多大程度上能够保留人工监督的下游泛化效用？针对火烟"非刚性、边界弥散"特性，如何通过边界扰动敏感性审计与模型-测试集冲突仲裁机制定量剥离测试集噪声，并精准表征漏检、误检与几何定位偏差的多维分布特征？</w:t>
      </w:r>
    </w:p>
    <w:p w14:paraId="1449286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该问题对应第4章中"绝对性能保留率"与"标注风格偏见解耦"双轨评价的实证需求，亦与数据质量文献中关于标签噪声对下游模型影响的讨论直接衔接[13-16]。</w:t>
      </w:r>
    </w:p>
    <w:p w14:paraId="7416A40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RQ3（多教师迭代与门径：权限解耦与保守Verifier策略）</w:t>
      </w:r>
    </w:p>
    <w:p w14:paraId="4509006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辅助教师模型（SAM3）介入自动化审计时，如何实施"剥离定位修改权、仅赋予语义审核权"的底层权限解耦？依托IoF包含率过滤与面向火焰类的保守Verifier策略（强证据否决），辅助教师验证路径的边际效用如何？在何种阈值下应触发自适应阻断（Stage-Gate），以决定是否跨越至多教师工业化级联流水线？</w:t>
      </w:r>
    </w:p>
    <w:p w14:paraId="730FA2D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该问题的核心管理逻辑是：第二教师的引入必须通过增量成本—增量效用的边际检验，而非预设其必然有效[28-29]。</w:t>
      </w:r>
    </w:p>
    <w:p w14:paraId="3937972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RQ4（敏捷周期下的资源配置：多规模情景Pareto选型）</w:t>
      </w:r>
    </w:p>
    <w:p w14:paraId="4108909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高敏捷、短周期的算法迭代工程中，如何剥离下游训练沉没成本、聚焦于纯标注环节进行解耦核算？如何将微观算力消耗线性外推至"千—万—十万"张图像的数量级规模模型中，对比人工标注机会成本与自动化生产算力消耗，构建由业务情景驱动的帕累托（Pareto）最优资源配置选型矩阵？</w:t>
      </w:r>
    </w:p>
    <w:p w14:paraId="1DE76743">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3.3 核心概念与边界</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47"/>
        <w:gridCol w:w="3413"/>
        <w:gridCol w:w="3331"/>
      </w:tblGrid>
      <w:tr w14:paraId="191C19D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EDF21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概念</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CE2B33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本文定义</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27072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边界约束</w:t>
            </w:r>
          </w:p>
        </w:tc>
      </w:tr>
      <w:tr w14:paraId="79C2F1B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2E815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主教师模型</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C89F77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负责目标激活与初始伪标签生成的零样本/开放词汇基础模型（以Grounding DINO为基准）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39CCF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语义提示词与置信度阈值须在开发集阶段完成硬冻结，后续迭代不进行动态微调</w:t>
            </w:r>
          </w:p>
        </w:tc>
      </w:tr>
      <w:tr w14:paraId="3581E00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1E46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审核教师（Teacher 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437EF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驱动自动化质量门径的像素级分割基础模型（以SAM3为基准），现阶段核心聚焦于语义验证（Verifier）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1D564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默认遵循主教师模型的空间边界；置信度模糊区域由人工干预路径进行异常接管</w:t>
            </w:r>
          </w:p>
        </w:tc>
      </w:tr>
      <w:tr w14:paraId="692668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8CAC6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学生模型（Student）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8872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承载下游业务逻辑与效用检验的轻量级边缘检测部署模型（以YOLO为基准）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E5FBF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仅承担下游泛化效用的黑盒验证与最终部署候选，其模型架构不参与上游数据生产的自适应调优</w:t>
            </w:r>
          </w:p>
        </w:tc>
      </w:tr>
      <w:tr w14:paraId="459CBB0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A788B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增补机制（Append）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34412D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基于审核教师模型的全图概念检索，旨在捕捉并召回主教师模型遗漏的潜在目标</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393E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须通过由置信度、长宽比、IoU、IoF及NMS组成的多维启发式安全过滤器与人工抽检验证</w:t>
            </w:r>
          </w:p>
        </w:tc>
      </w:tr>
      <w:tr w14:paraId="66492D1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B3BB0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精细化重定位（Refiner）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46A4D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利用多模态分割掩膜的外接矩形对初始伪标签边界框进行几何重构与定位校准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CC3C4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受前期探索性实验的负向退化证据约束，当前全量生产流中该操作被无限期终止（Strictly Terminated）</w:t>
            </w:r>
          </w:p>
        </w:tc>
      </w:tr>
      <w:tr w14:paraId="5BFD99D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EAD53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标签生产成本</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CAA5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涵盖伪标签自动生成、大模型级联调用算力（GPU-hours）以及人工协同审计所消耗的机会成本</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0353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与下游训练与验证成本执行严格的核算分离，确保评估指标纯粹反映数据资产的初始生产效率</w:t>
            </w:r>
          </w:p>
        </w:tc>
      </w:tr>
      <w:tr w14:paraId="3CCFA0D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187F2C8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模型验证成本</w:t>
            </w:r>
          </w:p>
        </w:tc>
        <w:tc>
          <w:tcPr>
            <w:tcW w:w="0" w:type="auto"/>
            <w:tcBorders>
              <w:top w:val="single" w:color="auto" w:sz="2" w:space="0"/>
              <w:left w:val="single" w:color="auto" w:sz="2" w:space="0"/>
              <w:bottom w:val="nil"/>
              <w:right w:val="single" w:color="auto" w:sz="2" w:space="0"/>
            </w:tcBorders>
            <w:shd w:val="clear"/>
            <w:vAlign w:val="center"/>
          </w:tcPr>
          <w:p w14:paraId="1B33D08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包含下游学生模型训练、收敛复现以及在隔离留存集上评估所消耗的时间与算力</w:t>
            </w:r>
          </w:p>
        </w:tc>
        <w:tc>
          <w:tcPr>
            <w:tcW w:w="0" w:type="auto"/>
            <w:tcBorders>
              <w:top w:val="single" w:color="auto" w:sz="2" w:space="0"/>
              <w:left w:val="single" w:color="auto" w:sz="2" w:space="0"/>
              <w:bottom w:val="nil"/>
              <w:right w:val="single" w:color="auto" w:sz="2" w:space="0"/>
            </w:tcBorders>
            <w:shd w:val="clear"/>
            <w:vAlign w:val="center"/>
          </w:tcPr>
          <w:p w14:paraId="212A75D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作为全局公共数据基础设施成本独立记账，不计入单一标签生产周期的边际效率核算</w:t>
            </w:r>
          </w:p>
        </w:tc>
      </w:tr>
    </w:tbl>
    <w:p w14:paraId="003D845C">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3.4 方法论稳健性与可证伪性设计</w:t>
      </w:r>
    </w:p>
    <w:p w14:paraId="117A537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本研究严格遵循科学实证的可证伪性原则（Principle of Falsifiability），不预设"第二教师必然有效"的乐观假设，而是预注册（Pre-registered）一套"自动化教师模型准入与阻断协议"：只有满足特定下游效用阈值的演进路径，才具备进入规模化生产的准入资格。该设计与Cooper所提出的Stage-Gate阶段门系统在逻辑上同构[28-29]——每一门点依据定量证据做出Go、Hold或Stop决策，避免后续阶段持续消耗资源。</w:t>
      </w:r>
    </w:p>
    <w:p w14:paraId="7EC21FE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根据最新阶段性实验证据，该门径控制机制对不同的工程尝试做出了相异的离散决策：</w:t>
      </w:r>
    </w:p>
    <w:p w14:paraId="5E875E6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推进（Go）决策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：仅验证模式（Verifier-only）在三组独立随机种子的配对实验中，均实现了下游学生模型</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与</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:0.95的一致性正向稳健增长。该路径获得"暂定推进（Conditional Go）"状态，处于等待最终隔离留存集验证的收敛阶段。</w:t>
      </w:r>
    </w:p>
    <w:p w14:paraId="44F5F0E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维持（Hold）决策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：增补模式（Append）未能在线下形成稳定的下游泛化优势，鉴于其边际技术成本与效用不匹配，决策门径判定其维持"暂停观望"状态。</w:t>
      </w:r>
    </w:p>
    <w:p w14:paraId="34F6FE2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终止（Stop）决策</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：框边界精细化（Box Refinement）引发了显著的几何退化风险与下游性能雪崩，即刻触发了阶段门径的"强行终止"机制。</w:t>
      </w:r>
    </w:p>
    <w:p w14:paraId="3F30438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这种非对称控制设计确保了本研究不仅能够捕捉正向工程突破，亦能通过对零结果和负结果的系统性解构，科学回答基础模型级联在AI数据工程中的效用边界与标注生产成本冲突问题。</w:t>
      </w:r>
    </w:p>
    <w:p w14:paraId="4257504B">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C706195">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四、理论基础与双教师工程管理研究框架</w:t>
      </w:r>
    </w:p>
    <w:p w14:paraId="03DEC88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4.1 前置动态清洗与下游效用双轨数据质量观</w:t>
      </w:r>
    </w:p>
    <w:p w14:paraId="2490919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传统数据质量观往往基于"后置审计"逻辑，即完全依赖人工绝对真理（Hard Ground Truth）构建的独立黄金测试集（Pilot-Test）进行单维效用评估。然而，在面对火焰、烟雾等形态多变的非刚性物体时，完全依赖人工标准极易引入由于人类主观判断导致的"紧凑型（Tight）"或"宽松型（Loose）"等标注风格偏见（Annotation Style Bias）[16]。在本研究所构建的"双教师自动化数据流水线"中，标签质量的控制并非发生在流转末端。由Grounding DINO（主教师）负责的"语义冷启动"，与由SAM3（第二教师）负责的"双向级联"构成了一个前置动态清洗与硬筛查系统：第一重作用（框引导掩膜校验，Box-to-Mask）：SAM3作为前端质量过滤器，直接在语义和掩膜层对不符合非刚性物理拓扑或置信度坍塌的候选框实施即时剔除（Rejection），仅对通过自洽性校验的候选标签给予支持并转化为精确边界。第二重作用（全图语义检索补漏，Open-vocabulary Retrieval）：通过跨模型协同检索，主动捕获主教师由于高阈值卡控导致的漏检（False Negatives）。这种前置动态清洗机制意味着，流入下游阶段的候选伪标签已经天然经过了第一重内生质量提纯。因此，本研究构建了"前置清洗后的绝对性能保留"与"应对人工噪声的几何风格解耦"双轨质量评价标准：</w:t>
      </w:r>
    </w:p>
    <w:p w14:paraId="450E2B9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4.1.1 绝对性能保留率</w:t>
      </w:r>
    </w:p>
    <w:p w14:paraId="610B278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用于在独立人工黄金测试集上评估自动数据对人工标注的绝对平替效能：</w:t>
      </w:r>
    </w:p>
    <w:p w14:paraId="553B1CF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性能保留率：RM = M_auto / M_GT</w:t>
      </w:r>
    </w:p>
    <w:p w14:paraId="5BEA0D9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其中，M_auto与M_GT分别表示在完全一致的训练配置与超参数下，由自动标签和人工标签训练出的学生模型在Holdout集上的对应正向效益指标（如P, R, mAP）。该指标回答了自动管线相对于人工监督保留了多少绝对效用。</w:t>
      </w:r>
    </w:p>
    <w:p w14:paraId="2E84524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4.1.2 标注风格偏见解耦</w:t>
      </w:r>
    </w:p>
    <w:p w14:paraId="24FE3BA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为防止高物理连续性的自动伪标签因人类标注风格的随机噪声而遭遇"指标伪惩罚"，引入以下两个几何稳健性度量：</w:t>
      </w:r>
    </w:p>
    <w:p w14:paraId="6F801DDC">
      <w:pPr>
        <w:keepNext w:val="0"/>
        <w:keepLines w:val="0"/>
        <w:widowControl/>
        <w:numPr>
          <w:ilvl w:val="0"/>
          <w:numId w:val="1"/>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中心点偏移度（Center Invariance, CI）：通过计算边界框重心坐标(x, y)之间的欧氏距离，剥离长宽比及松紧偏见，纯粹验证管线对非刚性物体核心地理视觉重心的捕获精度。</w:t>
      </w:r>
    </w:p>
    <w:p w14:paraId="6B393371">
      <w:pPr>
        <w:keepNext w:val="0"/>
        <w:keepLines w:val="0"/>
        <w:widowControl/>
        <w:numPr>
          <w:ilvl w:val="0"/>
          <w:numId w:val="1"/>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风格稀释交并比（Dilated IoU Sensitivity, DI）：参考边缘敏感度重构思想（如Boundary IoU理论），容许边界在模糊过渡带δ内自适应伸缩。若随着δ尺度的微增，DIoU曲线表现出快速的收敛与跃升，则可从数学上论证：自动化管线的质量折损纯粹来源于人机在过渡带上的"标注风格"差异，而非实际的漏检或误检。这为经过SAM3前置清洗后的高质边界提供了公允的质量背书。</w:t>
      </w:r>
    </w:p>
    <w:p w14:paraId="1ADEBAD0">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4.2 人工—自动管线标注生产成本比较</w:t>
      </w:r>
    </w:p>
    <w:p w14:paraId="4905B05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本研究的管理分析聚焦于</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标注生产成本</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的直接比较，即"人工逐框标注"与"自动化伪标签生产"在相同数据量下的资源消耗差异。从当前实际实验条件看，Grounding DINO、SAM3和YOLO训练均处于分钟至半小时量级，而且不同自动标签方案均需要使用相同YOLO训练程序验证下游效用。因此，如果将共同的学生模型训练成本、实验性重训成本和标签生产成本同时放入主比较框架，容易放大并非研究核心的细微GPU时间差异，反而弱化人工标注与自动标签生产之间真正显著的资源差距。</w:t>
      </w:r>
    </w:p>
    <w:p w14:paraId="3AD3B31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因此，本文将第四章和后续管理分析的核心成本对象收敛为训练标签生产成本（Annotation Production Cost），重点回答：</w:t>
      </w:r>
    </w:p>
    <w:p w14:paraId="693E598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"对于同样数量的训练图像，采用人工逐框标注、Grounding DINO V1或Grounding DINO + SAM3 Verifier产生训练标签，分别需要多少人工时间与计算资源？"</w:t>
      </w:r>
    </w:p>
    <w:p w14:paraId="7C7FE98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目标检测人工框标注本身属于明显的劳动密集型环节。已有研究表明，传统高质量目标框标注需要显著人工操作时间，而优化标注交互方式能够大幅缩短单框标注时间。因此，对于本研究而言，相比细分GPU训练费用，对人工逐图逐框生产时间与自动化标签生产时间进行直接比较更具有工程管理意义。</w:t>
      </w:r>
    </w:p>
    <w:p w14:paraId="56EA131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本文明确区分两类资源：</w:t>
      </w:r>
    </w:p>
    <w:p w14:paraId="74EBD959">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标签生产资源</w:t>
      </w:r>
      <w:r>
        <w:rPr>
          <w:rFonts w:hint="default" w:ascii="sans-serif" w:hAnsi="sans-serif" w:eastAsia="sans-serif" w:cs="sans-serif"/>
          <w:i w:val="0"/>
          <w:iCs w:val="0"/>
          <w:caps w:val="0"/>
          <w:color w:val="222222"/>
          <w:spacing w:val="0"/>
          <w:sz w:val="16"/>
          <w:szCs w:val="16"/>
          <w:bdr w:val="single" w:color="E3E3E3" w:sz="2" w:space="0"/>
          <w:shd w:val="clear" w:fill="FFFFFF"/>
        </w:rPr>
        <w:t>：人工逐框标注工时、Grounding DINO推理时间、SAM3 Verifier增量推理时间，以及正式生产中必要的人工抽检时间。</w:t>
      </w:r>
    </w:p>
    <w:p w14:paraId="6F6C8C84">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共同验证资源</w:t>
      </w:r>
      <w:r>
        <w:rPr>
          <w:rFonts w:hint="default" w:ascii="sans-serif" w:hAnsi="sans-serif" w:eastAsia="sans-serif" w:cs="sans-serif"/>
          <w:i w:val="0"/>
          <w:iCs w:val="0"/>
          <w:caps w:val="0"/>
          <w:color w:val="222222"/>
          <w:spacing w:val="0"/>
          <w:sz w:val="16"/>
          <w:szCs w:val="16"/>
          <w:bdr w:val="single" w:color="E3E3E3" w:sz="2" w:space="0"/>
          <w:shd w:val="clear" w:fill="FFFFFF"/>
        </w:rPr>
        <w:t>：YOLO学生模型训练、统一Pilot-Test评测以及所有方案共同需要进行的模型验证。</w:t>
      </w:r>
    </w:p>
    <w:p w14:paraId="559B284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第二类属于研究方案共同的效用验证过程，不计入人工与自动标签"生产成本差异"的主比较。只有某一新方案独有的额外人工返工或标签重新生产，才作为附加资源单独报告。</w:t>
      </w:r>
    </w:p>
    <w:p w14:paraId="594BABB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根据当前真实日志，历史人工标注约为：</w:t>
      </w:r>
    </w:p>
    <w:p w14:paraId="2D167BC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4808 min / 2404 images ≈ 2.00 min/image</w:t>
      </w:r>
    </w:p>
    <w:p w14:paraId="573212C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Grounding DINO V1生产约为：</w:t>
      </w:r>
    </w:p>
    <w:p w14:paraId="7386DD1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12 min / 2804 images ≈ 0.257 s/image</w:t>
      </w:r>
    </w:p>
    <w:p w14:paraId="70B19DA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SAM3 Verifier增量约为：</w:t>
      </w:r>
    </w:p>
    <w:p w14:paraId="50F2E9C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13 min / 2804 images ≈ 0.278 s/image</w:t>
      </w:r>
    </w:p>
    <w:p w14:paraId="0F77B57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因此Grounding DINO + SAM3 Verifier完整自动标签流程约为：</w:t>
      </w:r>
    </w:p>
    <w:p w14:paraId="4680D36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25 min / 2804 images ≈ 0.535 s/image</w:t>
      </w:r>
    </w:p>
    <w:p w14:paraId="0420F16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按照当前实测吞吐率线性外推，可得到以下标签生产资源量：</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968"/>
        <w:gridCol w:w="1240"/>
        <w:gridCol w:w="2086"/>
        <w:gridCol w:w="1965"/>
        <w:gridCol w:w="2132"/>
      </w:tblGrid>
      <w:tr w14:paraId="24B27AC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E30E47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图像数量</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A80A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人工逐框标注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33A27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1725C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DINO + SAM3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F6FCF0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Verifier相对V1新增时间</w:t>
            </w:r>
          </w:p>
        </w:tc>
      </w:tr>
      <w:tr w14:paraId="25964D9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7C358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2791A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5575E1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约0.071 h（4.28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1BC97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约0.149 h（8.92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75BCF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约0.077 h（4.64 min）</w:t>
            </w:r>
          </w:p>
        </w:tc>
      </w:tr>
      <w:tr w14:paraId="5FF79C9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FFEC6A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3850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约333.33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64C95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约0.713 h（42.80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FD4E6C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约1.486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FE116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约0.773 h</w:t>
            </w:r>
          </w:p>
        </w:tc>
      </w:tr>
      <w:tr w14:paraId="27D717A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57C755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100,000</w:t>
            </w:r>
          </w:p>
        </w:tc>
        <w:tc>
          <w:tcPr>
            <w:tcW w:w="0" w:type="auto"/>
            <w:tcBorders>
              <w:top w:val="single" w:color="auto" w:sz="2" w:space="0"/>
              <w:left w:val="single" w:color="auto" w:sz="2" w:space="0"/>
              <w:bottom w:val="nil"/>
              <w:right w:val="single" w:color="auto" w:sz="2" w:space="0"/>
            </w:tcBorders>
            <w:shd w:val="clear"/>
            <w:vAlign w:val="center"/>
          </w:tcPr>
          <w:p w14:paraId="6A82FCA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约3333.33 h</w:t>
            </w:r>
          </w:p>
        </w:tc>
        <w:tc>
          <w:tcPr>
            <w:tcW w:w="0" w:type="auto"/>
            <w:tcBorders>
              <w:top w:val="single" w:color="auto" w:sz="2" w:space="0"/>
              <w:left w:val="single" w:color="auto" w:sz="2" w:space="0"/>
              <w:bottom w:val="nil"/>
              <w:right w:val="single" w:color="auto" w:sz="2" w:space="0"/>
            </w:tcBorders>
            <w:shd w:val="clear"/>
            <w:vAlign w:val="center"/>
          </w:tcPr>
          <w:p w14:paraId="68CD8E0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约7.133 h</w:t>
            </w:r>
          </w:p>
        </w:tc>
        <w:tc>
          <w:tcPr>
            <w:tcW w:w="0" w:type="auto"/>
            <w:tcBorders>
              <w:top w:val="single" w:color="auto" w:sz="2" w:space="0"/>
              <w:left w:val="single" w:color="auto" w:sz="2" w:space="0"/>
              <w:bottom w:val="nil"/>
              <w:right w:val="single" w:color="auto" w:sz="2" w:space="0"/>
            </w:tcBorders>
            <w:shd w:val="clear"/>
            <w:vAlign w:val="center"/>
          </w:tcPr>
          <w:p w14:paraId="77EB58C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约14.860 h</w:t>
            </w:r>
          </w:p>
        </w:tc>
        <w:tc>
          <w:tcPr>
            <w:tcW w:w="0" w:type="auto"/>
            <w:tcBorders>
              <w:top w:val="single" w:color="auto" w:sz="2" w:space="0"/>
              <w:left w:val="single" w:color="auto" w:sz="2" w:space="0"/>
              <w:bottom w:val="nil"/>
              <w:right w:val="single" w:color="auto" w:sz="2" w:space="0"/>
            </w:tcBorders>
            <w:shd w:val="clear"/>
            <w:vAlign w:val="center"/>
          </w:tcPr>
          <w:p w14:paraId="0B7335F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约7.727 h</w:t>
            </w:r>
          </w:p>
        </w:tc>
      </w:tr>
    </w:tbl>
    <w:p w14:paraId="5EEF8D3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在不考虑固定准备时间的纯生产吞吐率口径下，Grounding DINO V1相对于历史人工标注约形成467倍的时间压缩；Grounding DINO + SAM3 Verifier约形成224倍的时间压缩。换言之，真正具有数量级差异的是"人工全量生产"和"自动化标签生产"，而不是DINO与SAM3之间几十分钟的GPU差异。</w:t>
      </w:r>
    </w:p>
    <w:p w14:paraId="7F051D4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正式论文不必在缺乏可靠人工单价和GPU单价时人为制造一个精确人民币成本。若后续能够获得人工小时单价w_H和GPU小时单价w_G，则可进一步换算：</w:t>
      </w:r>
    </w:p>
    <w:p w14:paraId="7A14515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C_H(N) = F_H + N × (2/60) × w_H</w:t>
      </w:r>
    </w:p>
    <w:p w14:paraId="20F2987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C_V1(N) = F_V1 + N × [12/(2804×60)] × w_G</w:t>
      </w:r>
    </w:p>
    <w:p w14:paraId="33673C2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C_V2(N) = F_V2 + N × [25/(2804×60)] × w_G</w:t>
      </w:r>
    </w:p>
    <w:p w14:paraId="0EC7399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其中，F表示数据整理、模型加载、提示词配置、环境启动等固定成本。</w:t>
      </w:r>
    </w:p>
    <w:p w14:paraId="356E921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如果正式生产要求固定比例的人工抽检，则将抽检成本C_audit单独列示，而不是隐藏在模型GPU成本中。</w:t>
      </w:r>
    </w:p>
    <w:p w14:paraId="3918D75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自动化方案与人工方案的成本交点可表达为：</w:t>
      </w:r>
    </w:p>
    <w:p w14:paraId="34CB93D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N* = (F_auto − F_H) / (c_H − c_auto)</w:t>
      </w:r>
    </w:p>
    <w:p w14:paraId="4B412CA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其中c_H和c_auto分别代表人工与自动方案的单位图像边际标签成本。</w:t>
      </w:r>
    </w:p>
    <w:p w14:paraId="7474E96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该模型说明，小规模新项目中固定配置与审核成本可能影响自动化收益；而随着数据量增加，单位成本更低的自动化方案将逐渐摊薄固定成本并取得明显规模优势。这也是后续Pareto规模情景分析的基础。</w:t>
      </w:r>
    </w:p>
    <w:p w14:paraId="20BEC834">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4.3 Stage-Gate阶段门</w:t>
      </w:r>
    </w:p>
    <w:p w14:paraId="235EF2B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为控制实验与生产升级边界，本框架引入研发管理中的Stage-Gate阶段门系统[28-29]，并结合现代机器学习工程中的质量门控标准。每个阶段都必须输出包含核心技术指标、CI-DI稳健性分析、数据版本、资源成本、错误样例和Gate结论的标准化证据包。只有达到预先定义的稳定性与安全门槛才允许进入下一阶段。在本研究中，当面临非刚性烟火数据、传统下游mAP由于人工标注风格偏见[16]出现伪赤字并触发熔断警报时，系统将自动调用CI-DI追溯审计。若中心共识度（CI）通过阈值门槛，则证明管线具备稳定的语义聚焦能力，Gate结论将判定为"统计型通过"。该机制的核心价值在于将"盲目尝试更多方法"的粗放式科研，转化为"基于定量证据及时停止无效方法"的精益工程管理，从而有效阻止因人类主观噪声引起的管线架构频繁重组与无效回滚。</w:t>
      </w:r>
    </w:p>
    <w:p w14:paraId="54640F88">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4.4 Pareto前沿与不同数据规模下的方案选择</w:t>
      </w:r>
    </w:p>
    <w:p w14:paraId="73B217A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使用Pareto思想解决的核心问题并不是寻找一个适用于全部数据规模和全部业务目标的"唯一最优模型"，而是在标签质量/下游效用最大化与标签生产资源最小化两个主要目标之间寻找非支配方案[33-34]。</w:t>
      </w:r>
    </w:p>
    <w:p w14:paraId="74308EA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在当前实验中，主要生产候选可以简化为三个：</w:t>
      </w:r>
    </w:p>
    <w:p w14:paraId="1A194F4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人工GT、Grounding DINO V1以及Grounding DINO + SAM3 Verifier V2。</w:t>
      </w:r>
    </w:p>
    <w:p w14:paraId="0D3857A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Append由于尚未表现出稳定收益，目前处于Hold状态；Box Refinement因为已经出现显著性能退化而处于Stop状态，因此在当前阶段不进入正式Pareto候选集合。</w:t>
      </w:r>
    </w:p>
    <w:p w14:paraId="006E404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在纯标签生产成本维度，人工标注需要约2 min/image，DINO V1约0.257 s/image，Verifier V2约0.535 s/image。因此V1具有最低自动化生产成本，而Verifier V2相对于V1支付的实际边际资源不是完整的25 min，而是SAM3新增的约13 min/2804张。</w:t>
      </w:r>
    </w:p>
    <w:p w14:paraId="7D3D380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因此，评价第二教师是否值得升级的核心问题可以简化为：</w:t>
      </w:r>
    </w:p>
    <w:p w14:paraId="7FF4845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"是否值得用额外的SAM3标签生产时间，交换稳定的伪标签质量或下游效用改善？"</w:t>
      </w:r>
    </w:p>
    <w:p w14:paraId="0E6DD21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保留标签增量效率指标：</w:t>
      </w:r>
    </w:p>
    <w:p w14:paraId="0C99275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ME_label = ΔM / ΔT_label</w:t>
      </w:r>
    </w:p>
    <w:p w14:paraId="4EC1993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其中ΔM表示Verifier V2相对于DINO V1的下游效用增量，ΔT_label表示SAM3带来的新增标签生成时间。</w:t>
      </w:r>
    </w:p>
    <w:p w14:paraId="33B682B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原有ME_cycle不再作为核心指标，因为额外YOLO训练主要属于研究阶段验证成本，而不是未来每一批训练数据必然发生的标签生产成本。</w:t>
      </w:r>
    </w:p>
    <w:p w14:paraId="487549D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结合当前实测速度，可形成以下规模化方案选择框架：</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65"/>
        <w:gridCol w:w="2225"/>
        <w:gridCol w:w="1547"/>
        <w:gridCol w:w="2654"/>
      </w:tblGrid>
      <w:tr w14:paraId="1887C38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DB6F9A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数据规模/情景</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13BBC5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主要资源特征</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EE4FBB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当前推荐方案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818A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决策依据</w:t>
            </w:r>
          </w:p>
        </w:tc>
      </w:tr>
      <w:tr w14:paraId="77F6FDB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E74B9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约1,000张；构建高质量Reference或一次性关键测试集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CBAD3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人工约33.3 h；自动化仅数分钟，但新项目固定配置和审计成本占比相对较高</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96459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人工标注/人工复核优先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D9AF9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数据量较小且标签本身承担评价基准功能时，人工作为Reference具有独立价值</w:t>
            </w:r>
          </w:p>
        </w:tc>
      </w:tr>
      <w:tr w14:paraId="76BE1D6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5A1EA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约1,000张；管线已经搭建完成的常规训练数据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F8F7B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V1约4.3 min；Verifier约8.9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6ABF6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V1成本最优；V2质量优先时可选</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7F912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已有管线情况下固定成本已发生，人工全量标注的边际成本明显高于自动化</w:t>
            </w:r>
          </w:p>
        </w:tc>
      </w:tr>
      <w:tr w14:paraId="4BC2BAC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DD116D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约10,000张；吞吐和交付周期优先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1C01A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人工约333.3 h；V1约0.71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69850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36EED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V1在标签生产成本方面具有明显优势</w:t>
            </w:r>
          </w:p>
        </w:tc>
      </w:tr>
      <w:tr w14:paraId="60617EA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1087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约10,000张；下游质量与稳定性优先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BA27A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V2约1.49 h，仅比V1新增约0.77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B6468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 V2，前提是通过Go Gate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269DAD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如果Verifier保持多seed稳定增益，约46 min新增计算通常可以接受</w:t>
            </w:r>
          </w:p>
        </w:tc>
      </w:tr>
      <w:tr w14:paraId="13FDD28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EB11B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约100,000张；最低成本/最高吞吐优先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C6344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人工约3333.3 h；V1约7.13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BF690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349C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V1构成自动生产成本下界</w:t>
            </w:r>
          </w:p>
        </w:tc>
      </w:tr>
      <w:tr w14:paraId="49ED9C4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EFEFB9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约100,000张；质量优先的规模化持续生产</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C4CFE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V2约14.86 h，比V1新增约7.73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F14E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 V2，前提是稳定收益继续存在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263C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在十万张规模下，若第二教师仍能换取稳定效用改善，新增约7.7 GPU小时具有较强资源经济性</w:t>
            </w:r>
          </w:p>
        </w:tc>
      </w:tr>
      <w:tr w14:paraId="20225E6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952381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任意规模；Verifier增益消失</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6EB7F5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V2始终比V1增加推理成本</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53312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退回V1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35053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当ΔM≈0时，V2被V1在成本维度支配</w:t>
            </w:r>
          </w:p>
        </w:tc>
      </w:tr>
      <w:tr w14:paraId="7DE229A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D63E95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任意规模；Append或Refiner</w:t>
            </w:r>
          </w:p>
        </w:tc>
        <w:tc>
          <w:tcPr>
            <w:tcW w:w="0" w:type="auto"/>
            <w:tcBorders>
              <w:top w:val="single" w:color="auto" w:sz="2" w:space="0"/>
              <w:left w:val="single" w:color="auto" w:sz="2" w:space="0"/>
              <w:bottom w:val="nil"/>
              <w:right w:val="single" w:color="auto" w:sz="2" w:space="0"/>
            </w:tcBorders>
            <w:shd w:val="clear"/>
            <w:vAlign w:val="center"/>
          </w:tcPr>
          <w:p w14:paraId="44EF516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当前无稳定收益或明显退化</w:t>
            </w:r>
          </w:p>
        </w:tc>
        <w:tc>
          <w:tcPr>
            <w:tcW w:w="0" w:type="auto"/>
            <w:tcBorders>
              <w:top w:val="single" w:color="auto" w:sz="2" w:space="0"/>
              <w:left w:val="single" w:color="auto" w:sz="2" w:space="0"/>
              <w:bottom w:val="nil"/>
              <w:right w:val="single" w:color="auto" w:sz="2" w:space="0"/>
            </w:tcBorders>
            <w:shd w:val="clear"/>
            <w:vAlign w:val="center"/>
          </w:tcPr>
          <w:p w14:paraId="7C368B2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Hold / Stop</w:t>
            </w:r>
          </w:p>
        </w:tc>
        <w:tc>
          <w:tcPr>
            <w:tcW w:w="0" w:type="auto"/>
            <w:tcBorders>
              <w:top w:val="single" w:color="auto" w:sz="2" w:space="0"/>
              <w:left w:val="single" w:color="auto" w:sz="2" w:space="0"/>
              <w:bottom w:val="nil"/>
              <w:right w:val="single" w:color="auto" w:sz="2" w:space="0"/>
            </w:tcBorders>
            <w:shd w:val="clear"/>
            <w:vAlign w:val="center"/>
          </w:tcPr>
          <w:p w14:paraId="1FE02DD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不进入正式生产Pareto前沿</w:t>
            </w:r>
          </w:p>
        </w:tc>
      </w:tr>
    </w:tbl>
    <w:p w14:paraId="7F6CD39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由此，本研究不再试图给出"V1、V2或人工GT谁绝对最好"的单一结论，而是形成规模—目标—方案三维选择边界。</w:t>
      </w:r>
    </w:p>
    <w:p w14:paraId="197FB60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从当前实验结果出发，可以得到一个阶段性的管理判断。</w:t>
      </w:r>
    </w:p>
    <w:p w14:paraId="792FB5D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当管理目标是最低标签生产成本和最高吞吐率时，Grounding DINO V1始终是当前自动化候选中的成本最优方案。</w:t>
      </w:r>
    </w:p>
    <w:p w14:paraId="24A123F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当管理目标更加重视标签质量及下游稳定性时，由于Verifier-only已经获得三seed方向一致的阶段性正向证据，其可以作为V2的Conditional Go候选。尤其是在1万张和10万张规模上，Verifier相对于V1分别只增加约0.77 GPU小时和7.73 GPU小时。如果后续冻结方案的统一评价继续确认其效用增益，则该新增资源很可能不足以抵消其质量收益，Verifier V2将成为质量优先情景下的Pareto候选方案。</w:t>
      </w:r>
    </w:p>
    <w:p w14:paraId="295A633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反之，如果冻结方案验证后Verifier的稳定下游收益消失，则ΔM趋近于0，而ΔT_label仍然大于0，此时V2将在性能—成本二维空间中被V1支配，最合理的工程决策应是停止增加第二教师复杂度，保留Grounding DINO V1。</w:t>
      </w:r>
    </w:p>
    <w:p w14:paraId="2783E13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对于人工标注，其作用也随数据规模发生变化。随着数据规模上升，人工标注不再适合作为训练数据的全量生产方式，而应逐步转变为Reference建立、分层质量抽检、疑难样本仲裁和高风险样本复核。因此，自动化并不是完全消灭人工，而是把稀缺人工资源从大量重复逐框操作重新配置到最能产生质量价值的审计和仲裁位置。</w:t>
      </w:r>
    </w:p>
    <w:p w14:paraId="1763305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这正是本文Pareto分析希望形成的管理结论：不是为了证明"模型一定比人工便宜"，也不是为了证明"第二教师越多越好"，而是根据数据规模、质量目标和已获得的实验收益，决定人工、V1与Verifier V2各自应该承担什么角色。</w:t>
      </w:r>
    </w:p>
    <w:p w14:paraId="40D26E82">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4.5 可追溯治理</w:t>
      </w:r>
    </w:p>
    <w:p w14:paraId="0003475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参考数据集文档化和AI管理体系研究[19-27]，本文建立从图像来源到测试报告的最小追溯链，要求每个最终标签都可回答：由哪个data_version、哪个Grounding DINO checkpoint、哪个语义提示_id、哪个score threshold产生，是否调用SAM3、SAM3以何种mode参与、最终box_source是什么，以及该label_version进入了哪个train_run。</w:t>
      </w:r>
    </w:p>
    <w:p w14:paraId="7C33F99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图2 技术—管理双主线研究框架</w:t>
      </w:r>
    </w:p>
    <w:p w14:paraId="2C9C2D27">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AEF8A54">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五、研究设计、数据方案与实验方法</w:t>
      </w:r>
    </w:p>
    <w:p w14:paraId="3C3F433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5.1 数据方案与实验协议</w:t>
      </w:r>
    </w:p>
    <w:p w14:paraId="087140E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当前已形成约2804张Training/Development图像以及274张历史统一Pilot-Test评测数据。数据分区遵循"开发—验证—测试"严格隔离原则，以防止标签生产过程中的参数选择对最终泛化评估产生信息泄漏[16]。</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2926"/>
        <w:gridCol w:w="3344"/>
        <w:gridCol w:w="2121"/>
      </w:tblGrid>
      <w:tr w14:paraId="186944A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5F5F4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数据分区</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7CA86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主要用途</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47E17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禁止事项</w:t>
            </w:r>
          </w:p>
        </w:tc>
      </w:tr>
      <w:tr w14:paraId="7DFB55E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0EFDE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语义提示Development/Reference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47055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语义提示独立评测、score threshold确定、SAM规则开发、错误诊断</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DBC95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不得用于最终泛化报告</w:t>
            </w:r>
          </w:p>
        </w:tc>
      </w:tr>
      <w:tr w14:paraId="3DDF9CC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DE4D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YOLO Validation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30CDB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训练状态监控、checkpoint选择、候选Stage-Gate初筛</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98ABD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不得反向修改Pilot-Test</w:t>
            </w:r>
          </w:p>
        </w:tc>
      </w:tr>
      <w:tr w14:paraId="166FF26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817B1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Prompt_golden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6102FC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阈值探索与稳定性验证</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9AB7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不用于后续测试</w:t>
            </w:r>
          </w:p>
        </w:tc>
      </w:tr>
      <w:tr w14:paraId="4A8838B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1B273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Pilot-Test（274张）</w:t>
            </w:r>
          </w:p>
        </w:tc>
        <w:tc>
          <w:tcPr>
            <w:tcW w:w="0" w:type="auto"/>
            <w:tcBorders>
              <w:top w:val="single" w:color="auto" w:sz="2" w:space="0"/>
              <w:left w:val="single" w:color="auto" w:sz="2" w:space="0"/>
              <w:bottom w:val="nil"/>
              <w:right w:val="single" w:color="auto" w:sz="2" w:space="0"/>
            </w:tcBorders>
            <w:shd w:val="clear"/>
            <w:vAlign w:val="center"/>
          </w:tcPr>
          <w:p w14:paraId="32E6CA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维持历史方案可比性、提供前期方向性证据</w:t>
            </w:r>
          </w:p>
        </w:tc>
        <w:tc>
          <w:tcPr>
            <w:tcW w:w="0" w:type="auto"/>
            <w:tcBorders>
              <w:top w:val="single" w:color="auto" w:sz="2" w:space="0"/>
              <w:left w:val="single" w:color="auto" w:sz="2" w:space="0"/>
              <w:bottom w:val="nil"/>
              <w:right w:val="single" w:color="auto" w:sz="2" w:space="0"/>
            </w:tcBorders>
            <w:shd w:val="clear"/>
            <w:vAlign w:val="center"/>
          </w:tcPr>
          <w:p w14:paraId="0A16620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开题后不得继续用于阈值/规则调参</w:t>
            </w:r>
          </w:p>
        </w:tc>
      </w:tr>
    </w:tbl>
    <w:p w14:paraId="308D8F2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上述分区设计的理论依据在于：Northcutt等[16]已证明测试集中的标签错误会系统性扰乱模型基准评价；Freire等[14]进一步指出标签噪声对目标检测性能的影响具有类别与尺度依赖性。因此，将参数选择严格限制在开发/验证集内，是保障最终效用评估无偏性的基本工程纪律。</w:t>
      </w:r>
    </w:p>
    <w:p w14:paraId="247B9B30">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5.2 低预算语义提示Benchmark</w:t>
      </w:r>
    </w:p>
    <w:p w14:paraId="5A567BC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语义提示评测使用现有语义提示_eval_groundingdino.py工具，每个语义提示独立推理和评测，不把多个描述先拼接为一句，以保证性能来源可解释。主要输出COCO mAP@[0.50:0.95]、AP50、AP75、AR100、最佳F1/F0.5/F2及对应阈值、平均/中位IoU、bootstrap 95%置信区间，并缓存predictions.csv，便于后续仅调整阈值和生成报告而不重复推理。</w:t>
      </w:r>
    </w:p>
    <w:p w14:paraId="5BF3EB6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正式语义提示流程采用三阶段序贯控制：</w:t>
      </w:r>
    </w:p>
    <w:p w14:paraId="172B318A">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P1（粗筛）</w:t>
      </w:r>
      <w:r>
        <w:rPr>
          <w:rFonts w:hint="default" w:ascii="sans-serif" w:hAnsi="sans-serif" w:eastAsia="sans-serif" w:cs="sans-serif"/>
          <w:i w:val="0"/>
          <w:iCs w:val="0"/>
          <w:caps w:val="0"/>
          <w:color w:val="222222"/>
          <w:spacing w:val="0"/>
          <w:sz w:val="16"/>
          <w:szCs w:val="16"/>
          <w:bdr w:val="single" w:color="E3E3E3" w:sz="2" w:space="0"/>
          <w:shd w:val="clear" w:fill="FFFFFF"/>
        </w:rPr>
        <w:t>：在小Reference集上比较候选语义提示，保留Top-2；</w:t>
      </w:r>
    </w:p>
    <w:p w14:paraId="34AC2C0E">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P2（复筛）</w:t>
      </w:r>
      <w:r>
        <w:rPr>
          <w:rFonts w:hint="default" w:ascii="sans-serif" w:hAnsi="sans-serif" w:eastAsia="sans-serif" w:cs="sans-serif"/>
          <w:i w:val="0"/>
          <w:iCs w:val="0"/>
          <w:caps w:val="0"/>
          <w:color w:val="222222"/>
          <w:spacing w:val="0"/>
          <w:sz w:val="16"/>
          <w:szCs w:val="16"/>
          <w:bdr w:val="single" w:color="E3E3E3" w:sz="2" w:space="0"/>
          <w:shd w:val="clear" w:fill="FFFFFF"/>
        </w:rPr>
        <w:t>：扩大Development子集，扫描阈值稳定区间；</w:t>
      </w:r>
    </w:p>
    <w:p w14:paraId="6C984328">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P3（冻结）</w:t>
      </w:r>
      <w:r>
        <w:rPr>
          <w:rFonts w:hint="default" w:ascii="sans-serif" w:hAnsi="sans-serif" w:eastAsia="sans-serif" w:cs="sans-serif"/>
          <w:i w:val="0"/>
          <w:iCs w:val="0"/>
          <w:caps w:val="0"/>
          <w:color w:val="222222"/>
          <w:spacing w:val="0"/>
          <w:sz w:val="16"/>
          <w:szCs w:val="16"/>
          <w:bdr w:val="single" w:color="E3E3E3" w:sz="2" w:space="0"/>
          <w:shd w:val="clear" w:fill="FFFFFF"/>
        </w:rPr>
        <w:t>：综合下游相关指标与调用复杂度，冻结语义提示_id、语义提示_text、score threshold和配置指纹。</w:t>
      </w:r>
    </w:p>
    <w:p w14:paraId="3480CF5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主排名先看</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"mailto:mAP@0.50"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mAP@0.50</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:0.95，再看AP75，最后看最佳阈值处的Precision/Recall/F1，避免以Grounding DINO confidence单独判断语义提示优劣。该序贯设计对应Stage-Gate中"阶段递进、证据累积"的决策逻辑[28-29]：每一阶段仅在上一阶段证据充分时启动，避免在不确定条件下过早消耗评测资源。</w:t>
      </w:r>
    </w:p>
    <w:p w14:paraId="1385E54E">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5.3 Grounding DINO主教师V1生产</w:t>
      </w:r>
    </w:p>
    <w:p w14:paraId="2EC494B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Grounding DINO生产脚本采用JSON驱动的固定生产语义：每个类别只使用冻结的primary global语义提示，经历box/text后处理、final score threshold与NMS，不在正式标签路径中引入WBF、TTA、tile、rescue、veto或层级融合。脚本将处理器与模型一次加载、固定语义提示一次tokenize并驻留GPU、每张图像只预处理和H2D一次，以降低重复开销，同时保留resume、原子sidecar和label写入功能。</w:t>
      </w:r>
    </w:p>
    <w:p w14:paraId="7FC71C1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当前工程配置示例为fire使用"fire ."、smoke使用"dense smoke ."；正式论文以语义提示Benchmark冻结结果为准，不把当前配置写成理论最优。该设计体现了"预防成本前置"的管理思想：通过一次性投入语义提示评测资源，避免后续生产中因配置漂移导致的返工与标签不一致。</w:t>
      </w:r>
    </w:p>
    <w:p w14:paraId="036FC65D">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5.4 主教师V1质量诊断</w:t>
      </w:r>
    </w:p>
    <w:p w14:paraId="081B8E7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V1质量诊断分为标签层和效用层两个维度，对应第4章"前置清洗后的绝对性能保留"与"应对人工噪声的几何风格解耦"双轨质量评价框架。</w:t>
      </w:r>
    </w:p>
    <w:p w14:paraId="7C44657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标签层</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：在人工GT子集上分别统计missing（漏检）、false positive（误检）、over-box/under-box（过框/欠框）、small object（小目标）、many-to-one（多框合一）、one-to-many（一框拆多）、fire/smoke语义冲突和框面积异常。YOLO回检只作为低成本诊断信号，分析错误是否在某些模型分歧样本中富集，不直接生成新标签。</w:t>
      </w:r>
    </w:p>
    <w:p w14:paraId="451EDFE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效用层</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：将V1标签训练统一YOLO，在Validation和冻结测试集上报告Precision、Recall、</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与</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并与人工GT基线计算性能保留率RM。只有标签层改善能够稳定迁移到学生模型，才定义为生产升级。这一判据与Hussain等[13]和Ma等[15]关于标注质量对检测性能影响的实证结论一致：标签几何改善若不能转化为学生模型泛化收益，则不具备工程升级价值。</w:t>
      </w:r>
    </w:p>
    <w:p w14:paraId="0579FAB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5.5 SAM3第二教师：Verifier为正式主候选</w:t>
      </w:r>
    </w:p>
    <w:p w14:paraId="1219247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最新sam3_dual_teacher_fire_refiner_iof.py将第二教师策略进一步收敛。非fire类（如smoke）完全旁路，Grounding DINO原始标签不改写；对每个DINO fire框，SAM3使用全图fire concept masks进行语义审核。审核通过后默认保留DINO原框，SAM3 mask外接框仅作为负消融对照。该设计明确区分"语义审核权"和"定位权"，从系统底层减少第二教师对已正确框的破坏。</w:t>
      </w:r>
    </w:p>
    <w:p w14:paraId="3D87921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Verifier判据综合SAM retrieval confidence、框内最小交集像素、DINO coverage、SAM-inside-DINO比例和box IoU。正式研究不把这些阈值固定为经验值，而在Development/Validation内形成宽松、基准、严格三档，比较误删真火、剔除真FP和学生模型收益。该三档设计对应Stage-Gate中"门点证据梯度"的思想[29]：不在单一阈值上做二元判断，而是通过区间观察确定稳健决策边界。</w:t>
      </w:r>
    </w:p>
    <w:p w14:paraId="6E29F94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5.6 Append安全门与IoF包含率过滤</w:t>
      </w:r>
    </w:p>
    <w:p w14:paraId="0D82681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SAM3全图概念检索可用于补漏，但新增框不能直接进入final labels。候选先经过置信度、最小框面积/绝对像素、最大长宽比、与DINO的IoU去重、IoF包含率过滤和append内部NMS。</w:t>
      </w:r>
    </w:p>
    <w:p w14:paraId="0D2CA3C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新增IoF指标的工程管理理由在于：当SAM小框完全位于DINO大框内部时，IoU可能很低，但两者仍可能描述同一目标。若仅依赖IoU，将产生大量"包含型重复框"，增加下游训练中的标签噪声[13-14]。IoF定义为：</w:t>
      </w:r>
    </w:p>
    <w:p w14:paraId="1CAE4B10">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candidate IoF = intersection / area(SAM candidate)</w:t>
      </w:r>
    </w:p>
    <w:p w14:paraId="11045414">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DINO IoF = intersection / area(DINO box)</w:t>
      </w:r>
    </w:p>
    <w:p w14:paraId="017F738D">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bidirectional IoF = max(candidate IoF, DINO IoF)</w:t>
      </w:r>
    </w:p>
    <w:p w14:paraId="58E3427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当前计划保留IoF 0.3/0.7等阈值作为边界实验，并对debug/sam3_rejected_by_iof进行人工抽样，将候选划分为"真重复/已覆盖""真正独立漏检""边界模糊"三类。只有新增候选Precision达到高门槛（建议≥90%）且学生模型稳定受益，Append才可能获得升级资格。该门槛设定遵循"鉴定投入不应超过其所能避免的返工损失"的基本原则。</w:t>
      </w:r>
    </w:p>
    <w:p w14:paraId="7F9F9C34">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5.7 Box Refinement停止门</w:t>
      </w:r>
    </w:p>
    <w:p w14:paraId="7549EE2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现有前期实验表明，SAM3 mask外接框替换Grounding DINO框会显著降低独立评测mAP，特别是</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:0.95（由0.4623降至0.3701）。该负结果的工程解释是：分割掩膜的外接矩形倾向于贴合非刚性目标的物理边缘，而检测GT的标注规范通常包含一定的边界余量，两者在粒度定义上存在系统偏差[13, 15]。</w:t>
      </w:r>
    </w:p>
    <w:p w14:paraId="6A95389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因此，正式研究将Box Refinement保留为"适用边界负消融"，不再作为默认生产路径。除非新框规范在小样本上同时改善定位指标和学生模型效用，否则DINO继续拥有最终检测框定位权。该停止决策体现了Stage-Gate中"及时终止无效路径以控制返工成本"的核心管理逻辑[28-29]。</w:t>
      </w:r>
    </w:p>
    <w:p w14:paraId="7DFA781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5.8 正式实验组与Stage-Gate规则</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75"/>
        <w:gridCol w:w="2115"/>
        <w:gridCol w:w="1564"/>
        <w:gridCol w:w="3337"/>
      </w:tblGrid>
      <w:tr w14:paraId="24BC2D3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A9EA79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编号</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CC66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方案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86D40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研究目的</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0C4C5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当前状态/执行规则</w:t>
            </w:r>
          </w:p>
        </w:tc>
      </w:tr>
      <w:tr w14:paraId="27CC0DC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92016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5158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人工GT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497EA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学生模型上界参考</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16E167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必做，至少3 seeds</w:t>
            </w:r>
          </w:p>
        </w:tc>
      </w:tr>
      <w:tr w14:paraId="0A2D8DF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77763F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B8E25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28CB5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自动标签基线</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058CC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必做，至少3 seeds</w:t>
            </w:r>
          </w:p>
        </w:tc>
      </w:tr>
      <w:tr w14:paraId="2A6C4D4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BF61C2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FD89B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V1 + GT离线诊断</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96E22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解释主要错误机制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00C28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必做，不生成新标签</w:t>
            </w:r>
          </w:p>
        </w:tc>
      </w:tr>
      <w:tr w14:paraId="3430D9D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6835B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E2AF1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DINO + SAM3 Verifier Only</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BE780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检验语义审核边际价值</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78D27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重点候选；三seed方向一致，拟进入新Holdout</w:t>
            </w:r>
          </w:p>
        </w:tc>
      </w:tr>
      <w:tr w14:paraId="261CA57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2EFDB7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5F103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 + Append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D3172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检验补漏价值</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941AD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Hold；需先通过append人工抽检</w:t>
            </w:r>
          </w:p>
        </w:tc>
      </w:tr>
      <w:tr w14:paraId="5ED7ECF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72A52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B98DA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Append最小绝对像素400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875C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抑制碎片候选</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1EDE6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边界实验</w:t>
            </w:r>
          </w:p>
        </w:tc>
      </w:tr>
      <w:tr w14:paraId="1F56529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B6C6DE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E2B-400+IoF</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1ADE6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IoF 0.3/0.7等</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141F55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抑制包含型重复框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81F3AD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边界实验，不以当前Pilot选最终阈值</w:t>
            </w:r>
          </w:p>
        </w:tc>
      </w:tr>
      <w:tr w14:paraId="3C878AC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5FDE5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A5B08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SAM3 Box Refinement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585C4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检验重定位边界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7566A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Stop：当前显著退化</w:t>
            </w:r>
          </w:p>
        </w:tc>
      </w:tr>
      <w:tr w14:paraId="7975344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127380C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E7</w:t>
            </w:r>
          </w:p>
        </w:tc>
        <w:tc>
          <w:tcPr>
            <w:tcW w:w="0" w:type="auto"/>
            <w:tcBorders>
              <w:top w:val="single" w:color="auto" w:sz="2" w:space="0"/>
              <w:left w:val="single" w:color="auto" w:sz="2" w:space="0"/>
              <w:bottom w:val="nil"/>
              <w:right w:val="single" w:color="auto" w:sz="2" w:space="0"/>
            </w:tcBorders>
            <w:shd w:val="clear"/>
            <w:vAlign w:val="center"/>
          </w:tcPr>
          <w:p w14:paraId="17BFA71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通过Gate的最终V2</w:t>
            </w:r>
          </w:p>
        </w:tc>
        <w:tc>
          <w:tcPr>
            <w:tcW w:w="0" w:type="auto"/>
            <w:tcBorders>
              <w:top w:val="single" w:color="auto" w:sz="2" w:space="0"/>
              <w:left w:val="single" w:color="auto" w:sz="2" w:space="0"/>
              <w:bottom w:val="nil"/>
              <w:right w:val="single" w:color="auto" w:sz="2" w:space="0"/>
            </w:tcBorders>
            <w:shd w:val="clear"/>
            <w:vAlign w:val="center"/>
          </w:tcPr>
          <w:p w14:paraId="79B9027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全量生成与最终稳健性验证</w:t>
            </w:r>
          </w:p>
        </w:tc>
        <w:tc>
          <w:tcPr>
            <w:tcW w:w="0" w:type="auto"/>
            <w:tcBorders>
              <w:top w:val="single" w:color="auto" w:sz="2" w:space="0"/>
              <w:left w:val="single" w:color="auto" w:sz="2" w:space="0"/>
              <w:bottom w:val="nil"/>
              <w:right w:val="single" w:color="auto" w:sz="2" w:space="0"/>
            </w:tcBorders>
            <w:shd w:val="clear"/>
            <w:vAlign w:val="center"/>
          </w:tcPr>
          <w:p w14:paraId="2D2124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条件执行；当前首选Verifier-only</w:t>
            </w:r>
          </w:p>
        </w:tc>
      </w:tr>
    </w:tbl>
    <w:p w14:paraId="2AA1CB1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上述实验组的设计逻辑遵循"基线确立→单因素消融→组合验证→最终冻结"的递进结构，与Cooper[29]所描述的Stage-Gate"阶段内并行探索、门点处串行决策"模式一致。</w:t>
      </w:r>
    </w:p>
    <w:p w14:paraId="7822C1C3">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5.9 统计分析与稳健性</w:t>
      </w:r>
    </w:p>
    <w:p w14:paraId="4B647CB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E0、E1与进入E7的最终候选至少进行3个随机种子复现，报告Mean±Std和配对差值。由于n=3不足以支持强统计显著性结论，当前阶段强调"方向一致性、效应量和新Holdout复现"，而不以单个p值宣布有效。Pilot-Test可使用bootstrap 95%置信区间[16]。结果按fire/smoke、small/medium/large、真实/AIGC来源和关键场景进行分层，判断总体变化是否由单一子群驱动。</w:t>
      </w:r>
    </w:p>
    <w:p w14:paraId="7F32922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该统计策略的考量是：在工程实验条件下，种子数受GPU资源约束难以大规模扩展；但三seed方向一致性已能提供初步的稳健性证据，配合新Holdout的一次性验证，可在有限资源下形成可接受的管理决策依据。</w:t>
      </w:r>
    </w:p>
    <w:p w14:paraId="6EA6DB55">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5.10 指标体系</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636"/>
        <w:gridCol w:w="5405"/>
        <w:gridCol w:w="2350"/>
      </w:tblGrid>
      <w:tr w14:paraId="1FC3156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EF70E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维度</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269D8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核心指标</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46D14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管理含义</w:t>
            </w:r>
          </w:p>
        </w:tc>
      </w:tr>
      <w:tr w14:paraId="5DB2BB2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7218C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标签质量</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EB15A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missing/FP、Median IoU、框面积比、重复率、append候选Precision、负向修改率</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2D940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识别错误类型和升级风险</w:t>
            </w:r>
          </w:p>
        </w:tc>
      </w:tr>
      <w:tr w14:paraId="3233731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5AB27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学生效用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92EA3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Precision、Recall、mAP50、mAP50:95、RM、Mean±Std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248B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判断标签是否真正可训练</w:t>
            </w:r>
          </w:p>
        </w:tc>
      </w:tr>
      <w:tr w14:paraId="6868B4D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6673DA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生产效率</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8547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标签生产分钟、秒/图、吞吐量、人工抽检小时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54E34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比较人工与自动生产</w:t>
            </w:r>
          </w:p>
        </w:tc>
      </w:tr>
      <w:tr w14:paraId="47B3D3D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C10EE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项目成本</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111DE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GPU小时、人工小时、重训次数、废弃run、迭代周期</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A8D1A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构成标注生产成本与迭代效率的实证账本</w:t>
            </w:r>
          </w:p>
        </w:tc>
      </w:tr>
      <w:tr w14:paraId="3AECE9C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6DF1FA0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治理</w:t>
            </w:r>
          </w:p>
        </w:tc>
        <w:tc>
          <w:tcPr>
            <w:tcW w:w="0" w:type="auto"/>
            <w:tcBorders>
              <w:top w:val="single" w:color="auto" w:sz="2" w:space="0"/>
              <w:left w:val="single" w:color="auto" w:sz="2" w:space="0"/>
              <w:bottom w:val="nil"/>
              <w:right w:val="single" w:color="auto" w:sz="2" w:space="0"/>
            </w:tcBorders>
            <w:shd w:val="clear"/>
            <w:vAlign w:val="center"/>
          </w:tcPr>
          <w:p w14:paraId="4BB80AF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语义提示_id、label_version、pipeline_version、train_run_id、metadata完整度</w:t>
            </w:r>
          </w:p>
        </w:tc>
        <w:tc>
          <w:tcPr>
            <w:tcW w:w="0" w:type="auto"/>
            <w:tcBorders>
              <w:top w:val="single" w:color="auto" w:sz="2" w:space="0"/>
              <w:left w:val="single" w:color="auto" w:sz="2" w:space="0"/>
              <w:bottom w:val="nil"/>
              <w:right w:val="single" w:color="auto" w:sz="2" w:space="0"/>
            </w:tcBorders>
            <w:shd w:val="clear"/>
            <w:vAlign w:val="center"/>
          </w:tcPr>
          <w:p w14:paraId="276F8BB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复现、回滚、审计</w:t>
            </w:r>
          </w:p>
        </w:tc>
      </w:tr>
    </w:tbl>
    <w:p w14:paraId="050F86B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该指标体系的设计原则是：每一维度均对应第4章标注生产成本框架中的特定资源类别或Stage-Gate中的特定门点证据需求，避免"为测量而测量"的指标冗余。</w:t>
      </w:r>
    </w:p>
    <w:p w14:paraId="22991077">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EC5F650">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六、前期实验基础与阶段性结论</w:t>
      </w:r>
    </w:p>
    <w:p w14:paraId="7CE8580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6.1 已完成工程基础</w:t>
      </w:r>
    </w:p>
    <w:p w14:paraId="31819A3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目前已完成Grounding DINO冷启动、语义提示评测工具、生产版Grounding DINO selector、统一YOLO训练验证、SAM3 Verifier/Append/Refiner消融、IoF重复候选过滤，以及逐图审计、事件JSONL、debug标签流、可视化与配置指纹输出。代码链条已具备把实验数据直接转化为论文中的过程证据和管理台账的条件。</w:t>
      </w:r>
    </w:p>
    <w:p w14:paraId="4358441C">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6.2 最新单次实验结果</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98"/>
        <w:gridCol w:w="1032"/>
        <w:gridCol w:w="592"/>
        <w:gridCol w:w="592"/>
        <w:gridCol w:w="596"/>
        <w:gridCol w:w="930"/>
        <w:gridCol w:w="702"/>
        <w:gridCol w:w="702"/>
        <w:gridCol w:w="702"/>
        <w:gridCol w:w="945"/>
      </w:tblGrid>
      <w:tr w14:paraId="3008115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301C4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实验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76194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方案/现象</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D029C6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6396D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5F181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AC141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Val mAP50:95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63428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A4EE8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0BE7D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78A74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mAP50:95</w:t>
            </w:r>
          </w:p>
        </w:tc>
      </w:tr>
      <w:tr w14:paraId="15FFD21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E42E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03BC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人工GT Baseline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F2094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844F71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0.707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B686C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27315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531AE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0.8205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00131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0.6717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E904E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0.7430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CEC198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0.5377</w:t>
            </w:r>
          </w:p>
        </w:tc>
      </w:tr>
      <w:tr w14:paraId="18DB4E6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DDB55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AC53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1BE9A3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0.836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B1B30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0.787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D98C5E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0.864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53FD7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E82B5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0.7635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DF1FA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0.6216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6DCDF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6C2F5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0.4623</w:t>
            </w:r>
          </w:p>
        </w:tc>
      </w:tr>
      <w:tr w14:paraId="6BA226B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A37275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6CD399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SAM3只审核，不补框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8838FB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38596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0.801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DE662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0.857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80C4B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0.739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58940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3B306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54244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0.6689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F71F8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0.4577</w:t>
            </w:r>
          </w:p>
        </w:tc>
      </w:tr>
      <w:tr w14:paraId="3BBAFC4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2E4F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87580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审核 + 全图补漏</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641405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6B4FD6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0.775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48C47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0.870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ADA08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84753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0.7531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93D73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2C8CBF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B5F87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0.4529</w:t>
            </w:r>
          </w:p>
        </w:tc>
      </w:tr>
      <w:tr w14:paraId="6F42511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6A2379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F7067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审核+补漏+SAM重塑DINO框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10D67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5ADE53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0.737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6AA47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0.816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3EF88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7DB1D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0.6124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18AA3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0.6182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B06639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0.5769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B173C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0.3701</w:t>
            </w:r>
          </w:p>
        </w:tc>
      </w:tr>
      <w:tr w14:paraId="71086B6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B76F4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BD31B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Append最小像素400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A56AB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0.808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C62E10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0.793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BECEA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0.857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AE63B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0.736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B55E1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8D921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C6690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0.6724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28C75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0.4530</w:t>
            </w:r>
          </w:p>
        </w:tc>
      </w:tr>
      <w:tr w14:paraId="6F344BF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AF368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E2B-400+IoF0.7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0880D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宽松IoF去重复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E6184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2E386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0.791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78211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0.867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CC38C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0.735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D383F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0.7729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4E1296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0.5878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7B633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0.6638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1B932B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0.4525</w:t>
            </w:r>
          </w:p>
        </w:tc>
      </w:tr>
      <w:tr w14:paraId="63E317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954321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E2B-400+IoF0.3</w:t>
            </w:r>
          </w:p>
        </w:tc>
        <w:tc>
          <w:tcPr>
            <w:tcW w:w="0" w:type="auto"/>
            <w:tcBorders>
              <w:top w:val="single" w:color="auto" w:sz="2" w:space="0"/>
              <w:left w:val="single" w:color="auto" w:sz="2" w:space="0"/>
              <w:bottom w:val="nil"/>
              <w:right w:val="single" w:color="auto" w:sz="2" w:space="0"/>
            </w:tcBorders>
            <w:shd w:val="clear"/>
            <w:vAlign w:val="center"/>
          </w:tcPr>
          <w:p w14:paraId="644FE8E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严格IoF</w:t>
            </w:r>
          </w:p>
        </w:tc>
        <w:tc>
          <w:tcPr>
            <w:tcW w:w="0" w:type="auto"/>
            <w:tcBorders>
              <w:top w:val="single" w:color="auto" w:sz="2" w:space="0"/>
              <w:left w:val="single" w:color="auto" w:sz="2" w:space="0"/>
              <w:bottom w:val="nil"/>
              <w:right w:val="single" w:color="auto" w:sz="2" w:space="0"/>
            </w:tcBorders>
            <w:shd w:val="clear"/>
            <w:vAlign w:val="center"/>
          </w:tcPr>
          <w:p w14:paraId="0354FBB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0.824</w:t>
            </w:r>
          </w:p>
        </w:tc>
        <w:tc>
          <w:tcPr>
            <w:tcW w:w="0" w:type="auto"/>
            <w:tcBorders>
              <w:top w:val="single" w:color="auto" w:sz="2" w:space="0"/>
              <w:left w:val="single" w:color="auto" w:sz="2" w:space="0"/>
              <w:bottom w:val="nil"/>
              <w:right w:val="single" w:color="auto" w:sz="2" w:space="0"/>
            </w:tcBorders>
            <w:shd w:val="clear"/>
            <w:vAlign w:val="center"/>
          </w:tcPr>
          <w:p w14:paraId="2A63100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0.803</w:t>
            </w:r>
          </w:p>
        </w:tc>
        <w:tc>
          <w:tcPr>
            <w:tcW w:w="0" w:type="auto"/>
            <w:tcBorders>
              <w:top w:val="single" w:color="auto" w:sz="2" w:space="0"/>
              <w:left w:val="single" w:color="auto" w:sz="2" w:space="0"/>
              <w:bottom w:val="nil"/>
              <w:right w:val="single" w:color="auto" w:sz="2" w:space="0"/>
            </w:tcBorders>
            <w:shd w:val="clear"/>
            <w:vAlign w:val="center"/>
          </w:tcPr>
          <w:p w14:paraId="6335082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0.865</w:t>
            </w:r>
          </w:p>
        </w:tc>
        <w:tc>
          <w:tcPr>
            <w:tcW w:w="0" w:type="auto"/>
            <w:tcBorders>
              <w:top w:val="single" w:color="auto" w:sz="2" w:space="0"/>
              <w:left w:val="single" w:color="auto" w:sz="2" w:space="0"/>
              <w:bottom w:val="nil"/>
              <w:right w:val="single" w:color="auto" w:sz="2" w:space="0"/>
            </w:tcBorders>
            <w:shd w:val="clear"/>
            <w:vAlign w:val="center"/>
          </w:tcPr>
          <w:p w14:paraId="2233410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0.740</w:t>
            </w:r>
          </w:p>
        </w:tc>
        <w:tc>
          <w:tcPr>
            <w:tcW w:w="0" w:type="auto"/>
            <w:tcBorders>
              <w:top w:val="single" w:color="auto" w:sz="2" w:space="0"/>
              <w:left w:val="single" w:color="auto" w:sz="2" w:space="0"/>
              <w:bottom w:val="nil"/>
              <w:right w:val="single" w:color="auto" w:sz="2" w:space="0"/>
            </w:tcBorders>
            <w:shd w:val="clear"/>
            <w:vAlign w:val="center"/>
          </w:tcPr>
          <w:p w14:paraId="199FAB6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0.7148</w:t>
            </w:r>
          </w:p>
        </w:tc>
        <w:tc>
          <w:tcPr>
            <w:tcW w:w="0" w:type="auto"/>
            <w:tcBorders>
              <w:top w:val="single" w:color="auto" w:sz="2" w:space="0"/>
              <w:left w:val="single" w:color="auto" w:sz="2" w:space="0"/>
              <w:bottom w:val="nil"/>
              <w:right w:val="single" w:color="auto" w:sz="2" w:space="0"/>
            </w:tcBorders>
            <w:shd w:val="clear"/>
            <w:vAlign w:val="center"/>
          </w:tcPr>
          <w:p w14:paraId="726C3B2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0.6432</w:t>
            </w:r>
          </w:p>
        </w:tc>
        <w:tc>
          <w:tcPr>
            <w:tcW w:w="0" w:type="auto"/>
            <w:tcBorders>
              <w:top w:val="single" w:color="auto" w:sz="2" w:space="0"/>
              <w:left w:val="single" w:color="auto" w:sz="2" w:space="0"/>
              <w:bottom w:val="nil"/>
              <w:right w:val="single" w:color="auto" w:sz="2" w:space="0"/>
            </w:tcBorders>
            <w:shd w:val="clear"/>
            <w:vAlign w:val="center"/>
          </w:tcPr>
          <w:p w14:paraId="46110D1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0.6722</w:t>
            </w:r>
          </w:p>
        </w:tc>
        <w:tc>
          <w:tcPr>
            <w:tcW w:w="0" w:type="auto"/>
            <w:tcBorders>
              <w:top w:val="single" w:color="auto" w:sz="2" w:space="0"/>
              <w:left w:val="single" w:color="auto" w:sz="2" w:space="0"/>
              <w:bottom w:val="nil"/>
              <w:right w:val="single" w:color="auto" w:sz="2" w:space="0"/>
            </w:tcBorders>
            <w:shd w:val="clear"/>
            <w:vAlign w:val="center"/>
          </w:tcPr>
          <w:p w14:paraId="260105F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0.4606</w:t>
            </w:r>
          </w:p>
        </w:tc>
      </w:tr>
    </w:tbl>
    <w:p w14:paraId="525661E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从单次结果看，E2A主要体现Recall上升（0.6216→0.6609），但</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:0.95略有下降；Append各版本呈Precision—Recall权衡，尚未形成稳定的高IoU收益；E2C则出现明显退化，已经足以支持停止"用SAM mask外接框替换DINO框"的默认路径。</w:t>
      </w:r>
    </w:p>
    <w:p w14:paraId="6C8E7B39">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6.3 三随机种子稳定性结果</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30"/>
        <w:gridCol w:w="398"/>
        <w:gridCol w:w="1712"/>
        <w:gridCol w:w="1712"/>
        <w:gridCol w:w="1712"/>
        <w:gridCol w:w="1727"/>
      </w:tblGrid>
      <w:tr w14:paraId="1E7D72D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CE2BB3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Seed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BDBCA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方案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39713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581D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E53AE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771CA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Pilot mAP50:95</w:t>
            </w:r>
          </w:p>
        </w:tc>
      </w:tr>
      <w:tr w14:paraId="33B06AE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685228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49AFB1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E0F31E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0.6944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02E5A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0.6114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BF6DD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0.6302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9709A3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0.4255</w:t>
            </w:r>
          </w:p>
        </w:tc>
      </w:tr>
      <w:tr w14:paraId="38E43A0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76CDE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B87D30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4054E1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0.7290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C6697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0.6088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853B7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0.6562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E8C86D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0.4564</w:t>
            </w:r>
          </w:p>
        </w:tc>
      </w:tr>
      <w:tr w14:paraId="4F3FBED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867ED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F6A66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EC5BF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0.7480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97088C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0.5862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E03162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0.6492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09636E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0.4421</w:t>
            </w:r>
          </w:p>
        </w:tc>
      </w:tr>
      <w:tr w14:paraId="073C5E5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CCDDE1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DE906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30BA1E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0.6915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68969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0.6541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85CA4B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0.6603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91004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0.4510</w:t>
            </w:r>
          </w:p>
        </w:tc>
      </w:tr>
      <w:tr w14:paraId="342F59D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FFE18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FE5FB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AEBF7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0.6800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710CEE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0.6119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1207B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0.6427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2B703F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0.4434</w:t>
            </w:r>
          </w:p>
        </w:tc>
      </w:tr>
      <w:tr w14:paraId="557BC72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B29B1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7619C7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882EF4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1E772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F7476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0.6751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D7C33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0.4638</w:t>
            </w:r>
          </w:p>
        </w:tc>
      </w:tr>
      <w:tr w14:paraId="1DAEA48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2BEF8A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Mean±Std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123C1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508977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0.7075±0.0358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87EEF9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0.6032±0.0147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F330A8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0.6407±0.0097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66592C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0.4370±0.0100</w:t>
            </w:r>
          </w:p>
        </w:tc>
      </w:tr>
      <w:tr w14:paraId="62BBA60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63DCAD5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Mean±Std</w:t>
            </w:r>
          </w:p>
        </w:tc>
        <w:tc>
          <w:tcPr>
            <w:tcW w:w="0" w:type="auto"/>
            <w:tcBorders>
              <w:top w:val="single" w:color="auto" w:sz="2" w:space="0"/>
              <w:left w:val="single" w:color="auto" w:sz="2" w:space="0"/>
              <w:bottom w:val="nil"/>
              <w:right w:val="single" w:color="auto" w:sz="2" w:space="0"/>
            </w:tcBorders>
            <w:shd w:val="clear"/>
            <w:vAlign w:val="center"/>
          </w:tcPr>
          <w:p w14:paraId="7F90886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w:t>
            </w:r>
          </w:p>
        </w:tc>
        <w:tc>
          <w:tcPr>
            <w:tcW w:w="0" w:type="auto"/>
            <w:tcBorders>
              <w:top w:val="single" w:color="auto" w:sz="2" w:space="0"/>
              <w:left w:val="single" w:color="auto" w:sz="2" w:space="0"/>
              <w:bottom w:val="nil"/>
              <w:right w:val="single" w:color="auto" w:sz="2" w:space="0"/>
            </w:tcBorders>
            <w:shd w:val="clear"/>
            <w:vAlign w:val="center"/>
          </w:tcPr>
          <w:p w14:paraId="70C93D5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0.7128±0.0193</w:t>
            </w:r>
          </w:p>
        </w:tc>
        <w:tc>
          <w:tcPr>
            <w:tcW w:w="0" w:type="auto"/>
            <w:tcBorders>
              <w:top w:val="single" w:color="auto" w:sz="2" w:space="0"/>
              <w:left w:val="single" w:color="auto" w:sz="2" w:space="0"/>
              <w:bottom w:val="nil"/>
              <w:right w:val="single" w:color="auto" w:sz="2" w:space="0"/>
            </w:tcBorders>
            <w:shd w:val="clear"/>
            <w:vAlign w:val="center"/>
          </w:tcPr>
          <w:p w14:paraId="51570D4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0.6325±0.0227</w:t>
            </w:r>
          </w:p>
        </w:tc>
        <w:tc>
          <w:tcPr>
            <w:tcW w:w="0" w:type="auto"/>
            <w:tcBorders>
              <w:top w:val="single" w:color="auto" w:sz="2" w:space="0"/>
              <w:left w:val="single" w:color="auto" w:sz="2" w:space="0"/>
              <w:bottom w:val="nil"/>
              <w:right w:val="single" w:color="auto" w:sz="2" w:space="0"/>
            </w:tcBorders>
            <w:shd w:val="clear"/>
            <w:vAlign w:val="center"/>
          </w:tcPr>
          <w:p w14:paraId="052B57F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0.6639±0.0099</w:t>
            </w:r>
          </w:p>
        </w:tc>
        <w:tc>
          <w:tcPr>
            <w:tcW w:w="0" w:type="auto"/>
            <w:tcBorders>
              <w:top w:val="single" w:color="auto" w:sz="2" w:space="0"/>
              <w:left w:val="single" w:color="auto" w:sz="2" w:space="0"/>
              <w:bottom w:val="nil"/>
              <w:right w:val="single" w:color="auto" w:sz="2" w:space="0"/>
            </w:tcBorders>
            <w:shd w:val="clear"/>
            <w:vAlign w:val="center"/>
          </w:tcPr>
          <w:p w14:paraId="6F6BCFC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0.4571±0.0064</w:t>
            </w:r>
          </w:p>
        </w:tc>
      </w:tr>
    </w:tbl>
    <w:p w14:paraId="2149C66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三seed均显示E2A相对E1的</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和</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:0.95为正向变化。按均值计算，Pilot Recall提高0.0294，</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提高0.0232，</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:0.95提高0.0201；Precision均值提高0.0053但跨seed波动。该结果比单次实验更有说服力，说明SAM3 Verifier-only具有进入下一阶段验证的理由，但由于当前274张Pilot-Test已经被反复查看，仍不能把这一结果当作最终无偏结论。</w:t>
      </w:r>
    </w:p>
    <w:p w14:paraId="6948C0C1">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6.4 自动标签相对人工GT的性能保留</w:t>
      </w:r>
    </w:p>
    <w:p w14:paraId="539FA42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以最新单次人工GT基线Exp0为参考，Exp1在Pilot-Test上的性能保留率约为：Precision 93.1%，Recall 92.5%，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89.5%，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begin"/>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instrText xml:space="preserve"> HYPERLINK "mailto:mAP@0.5" \t "https://chat.qwen.ai/c/_blank" </w:instrTex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separate"/>
      </w:r>
      <w:r>
        <w:rPr>
          <w:rStyle w:val="8"/>
          <w:rFonts w:hint="default" w:ascii="sans-serif" w:hAnsi="sans-serif" w:eastAsia="sans-serif" w:cs="sans-serif"/>
          <w:i w:val="0"/>
          <w:iCs w:val="0"/>
          <w:caps w:val="0"/>
          <w:color w:val="003DB8"/>
          <w:spacing w:val="0"/>
          <w:sz w:val="16"/>
          <w:szCs w:val="16"/>
          <w:u w:val="none"/>
          <w:bdr w:val="single" w:color="E3E3E3" w:sz="2" w:space="0"/>
          <w:shd w:val="clear" w:fill="FFFFFF"/>
        </w:rPr>
        <w:t>mAP@0.5</w:t>
      </w:r>
      <w:r>
        <w:rPr>
          <w:rFonts w:hint="default" w:ascii="sans-serif" w:hAnsi="sans-serif" w:eastAsia="sans-serif" w:cs="sans-serif"/>
          <w:i w:val="0"/>
          <w:iCs w:val="0"/>
          <w:caps w:val="0"/>
          <w:color w:val="003DB8"/>
          <w:spacing w:val="0"/>
          <w:kern w:val="0"/>
          <w:sz w:val="16"/>
          <w:szCs w:val="16"/>
          <w:u w:val="none"/>
          <w:bdr w:val="single" w:color="E3E3E3" w:sz="2" w:space="0"/>
          <w:shd w:val="clear" w:fill="FFFFFF"/>
          <w:lang w:val="en-US" w:eastAsia="zh-CN" w:bidi="ar"/>
        </w:rPr>
        <w:fldChar w:fldCharType="end"/>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:0.95 86.0%。这说明主教师V1已经具有较高的训练可用性，同时保留约10%—14%的性能差距供质量治理研究。</w:t>
      </w:r>
    </w:p>
    <w:p w14:paraId="3904899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E2A单次结果在Recall方面接近人工GT（约98.4%保留），但Precision和mAP50:95并未单次全面超过E1；因此论文不应选择性报告某一次"最好结果"，而应以多seed和新Pilot-Test判断是否具有稳定边际收益。</w:t>
      </w:r>
    </w:p>
    <w:p w14:paraId="7B08B204">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6.5 阶段性技术结论</w:t>
      </w:r>
    </w:p>
    <w:p w14:paraId="222C9E2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Grounding DINO V1已证明自动伪标签具有较强下游训练价值，可作为低成本主教师生产基线。</w:t>
      </w:r>
    </w:p>
    <w:p w14:paraId="015AF9A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SAM3最有潜力的角色不是"重新框"，而是"保守语义审核"；当前多seed结果支持Verifier-only进入下一Gate。</w:t>
      </w:r>
    </w:p>
    <w:p w14:paraId="7168E5A6">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Append仍需要人工候选精度、安全门和新Holdout效用验证；IoF适合作为重复候选治理参数，而不是当前就宣称为性能优化点。</w:t>
      </w:r>
    </w:p>
    <w:p w14:paraId="0165B7A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Box Refinement的负结果是有价值的适用边界：分割框粒度与检测GT定义不一致时，第二教师越积极改框可能越伤害下游模型。</w:t>
      </w:r>
    </w:p>
    <w:p w14:paraId="418A93B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Validation显著高于Pilot-Test，提示数据分布/调参适应问题仍然存在，Pilot-Test治理必须成为正式论文的一部分。</w:t>
      </w:r>
    </w:p>
    <w:p w14:paraId="423925D4">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FA6D68A">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七、标注生产成本、规模情景与升级/停止规则</w:t>
      </w:r>
    </w:p>
    <w:p w14:paraId="627E18FF">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7.1 管理评价对象与成本边界</w:t>
      </w:r>
    </w:p>
    <w:p w14:paraId="636AB4C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章的管理评价对象限定为"训练数据生产与模型迭代流程"，不直接评价真实火灾应急处置SOP。原因在于：应急处置受组织协同、天气、人员、设备和灾害过程等大量不可控变量影响，而训练数据生产的人工工时、GPU时长、版本变更、返工、重训和性能结果能够被实验日志直接记录，具备可测量、可审计、可复现的工程管理属性。</w:t>
      </w:r>
    </w:p>
    <w:p w14:paraId="71E8781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成本核算遵循第4章确立的"标签生产成本"与"学生模型验证成本"分离原则。人工GT、Grounding DINO V1、GD+SAM3方案最终均需训练YOLO进行效用验证，因此YOLO训练属于各方案共同的验证步骤，不应将其重复计入自动标签的生产优势比较；但在比较完整项目迭代周期时，新增候选造成的额外训练run应单独计入返工与迭代成本，与标签生产成本分开报告。</w:t>
      </w:r>
    </w:p>
    <w:p w14:paraId="6A1F9EF0">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7.2 当前观测时间与标准化吞吐率</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07"/>
        <w:gridCol w:w="2417"/>
        <w:gridCol w:w="1249"/>
        <w:gridCol w:w="3018"/>
      </w:tblGrid>
      <w:tr w14:paraId="4DA3193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5B335B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环节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BDB5A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观测数据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FA43A0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标准化速度</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04447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管理解释</w:t>
            </w:r>
          </w:p>
        </w:tc>
      </w:tr>
      <w:tr w14:paraId="5DCA5C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88A53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历史人工逐框标注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A3DD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4808 min / 2404张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E63F0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约2.00 min/张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B0B83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质量上界参考；时间随规模线性增长</w:t>
            </w:r>
          </w:p>
        </w:tc>
      </w:tr>
      <w:tr w14:paraId="6B909EE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D29E7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Grounding DINO V1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3C062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约12 min / 2804张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2C1F7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约0.257 s/张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D056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标签主生产，分钟级</w:t>
            </w:r>
          </w:p>
        </w:tc>
      </w:tr>
      <w:tr w14:paraId="582E267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63C5F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SAM3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3133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约13 min / 2804张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21020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约0.278 s/张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2C0954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第二教师增量，分钟级</w:t>
            </w:r>
          </w:p>
        </w:tc>
      </w:tr>
      <w:tr w14:paraId="31E19F1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9744C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GD + SAM3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32850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约25 min / 2804张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CD288D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约0.535 s/张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EA3E8B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相对人工约224倍时间压缩（吞吐率口径）</w:t>
            </w:r>
          </w:p>
        </w:tc>
      </w:tr>
      <w:tr w14:paraId="630772B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2ABCB98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YOLO训练</w:t>
            </w:r>
          </w:p>
        </w:tc>
        <w:tc>
          <w:tcPr>
            <w:tcW w:w="0" w:type="auto"/>
            <w:tcBorders>
              <w:top w:val="single" w:color="auto" w:sz="2" w:space="0"/>
              <w:left w:val="single" w:color="auto" w:sz="2" w:space="0"/>
              <w:bottom w:val="nil"/>
              <w:right w:val="single" w:color="auto" w:sz="2" w:space="0"/>
            </w:tcBorders>
            <w:shd w:val="clear"/>
            <w:vAlign w:val="center"/>
          </w:tcPr>
          <w:p w14:paraId="0FA09A2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典型约0.31 h，通常约0.5 h量级</w:t>
            </w:r>
          </w:p>
        </w:tc>
        <w:tc>
          <w:tcPr>
            <w:tcW w:w="0" w:type="auto"/>
            <w:tcBorders>
              <w:top w:val="single" w:color="auto" w:sz="2" w:space="0"/>
              <w:left w:val="single" w:color="auto" w:sz="2" w:space="0"/>
              <w:bottom w:val="nil"/>
              <w:right w:val="single" w:color="auto" w:sz="2" w:space="0"/>
            </w:tcBorders>
            <w:shd w:val="clear"/>
            <w:vAlign w:val="center"/>
          </w:tcPr>
          <w:p w14:paraId="6DB29F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按run计</w:t>
            </w:r>
          </w:p>
        </w:tc>
        <w:tc>
          <w:tcPr>
            <w:tcW w:w="0" w:type="auto"/>
            <w:tcBorders>
              <w:top w:val="single" w:color="auto" w:sz="2" w:space="0"/>
              <w:left w:val="single" w:color="auto" w:sz="2" w:space="0"/>
              <w:bottom w:val="nil"/>
              <w:right w:val="single" w:color="auto" w:sz="2" w:space="0"/>
            </w:tcBorders>
            <w:shd w:val="clear"/>
            <w:vAlign w:val="center"/>
          </w:tcPr>
          <w:p w14:paraId="47D9258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属于下游验证；需记录seed/重训次数</w:t>
            </w:r>
          </w:p>
        </w:tc>
      </w:tr>
    </w:tbl>
    <w:p w14:paraId="5111C25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需要说明的是，上述"倍数"系基于不同批次的历史观测吞吐率归一化所得，反映时间量级差异，不等同于财务成本比。GPU型号、I/O带宽、并行度和人工标注难度变化均会改变绝对数值。该处理方式遵循"可测量优先于主观估价"的原则，避免在缺乏可靠单价时制造虚假精度。</w:t>
      </w:r>
    </w:p>
    <w:p w14:paraId="5E0F6B1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7.3 数量级场景比较</w:t>
      </w:r>
    </w:p>
    <w:p w14:paraId="4C8D180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考虑当前单批次计算耗时极短，本章将资源分析重心从"单次GPU费用差"转向数量级场景下的规模效应。按当前观测吞吐率线性外推、暂不计固定配置/传输/抽检时间，可得到如下容量测算：</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991"/>
        <w:gridCol w:w="992"/>
        <w:gridCol w:w="769"/>
        <w:gridCol w:w="1060"/>
        <w:gridCol w:w="1335"/>
        <w:gridCol w:w="3244"/>
      </w:tblGrid>
      <w:tr w14:paraId="3C5DCF3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9FD67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图像规模</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5B689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人工标注时间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4105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GD V1时间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2316E5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GD+SAM3时间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5E7B0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Verifier新增时间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0BECD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主要管理矛盾</w:t>
            </w:r>
          </w:p>
        </w:tc>
      </w:tr>
      <w:tr w14:paraId="286794B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752024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9239B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F94FF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约4.3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C524D9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约8.9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3A98D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约4.6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E7BC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固定准备/抽检占比高；人工仍可用于高质量Reference</w:t>
            </w:r>
          </w:p>
        </w:tc>
      </w:tr>
      <w:tr w14:paraId="716EAB1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093E6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10,000张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91269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约333.3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D4E48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约42.8 min</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A5FA35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约1.49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8DD60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约0.77 h</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67EB6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人工全量标注形成明显交付瓶颈；第二教师是否稳定增益成为关键</w:t>
            </w:r>
          </w:p>
        </w:tc>
      </w:tr>
      <w:tr w14:paraId="757ED41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6C213DA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100,000张</w:t>
            </w:r>
          </w:p>
        </w:tc>
        <w:tc>
          <w:tcPr>
            <w:tcW w:w="0" w:type="auto"/>
            <w:tcBorders>
              <w:top w:val="single" w:color="auto" w:sz="2" w:space="0"/>
              <w:left w:val="single" w:color="auto" w:sz="2" w:space="0"/>
              <w:bottom w:val="nil"/>
              <w:right w:val="single" w:color="auto" w:sz="2" w:space="0"/>
            </w:tcBorders>
            <w:shd w:val="clear"/>
            <w:vAlign w:val="center"/>
          </w:tcPr>
          <w:p w14:paraId="0F8D8F4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约3333.3 h</w:t>
            </w:r>
          </w:p>
        </w:tc>
        <w:tc>
          <w:tcPr>
            <w:tcW w:w="0" w:type="auto"/>
            <w:tcBorders>
              <w:top w:val="single" w:color="auto" w:sz="2" w:space="0"/>
              <w:left w:val="single" w:color="auto" w:sz="2" w:space="0"/>
              <w:bottom w:val="nil"/>
              <w:right w:val="single" w:color="auto" w:sz="2" w:space="0"/>
            </w:tcBorders>
            <w:shd w:val="clear"/>
            <w:vAlign w:val="center"/>
          </w:tcPr>
          <w:p w14:paraId="6C4ED45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约7.13 h</w:t>
            </w:r>
          </w:p>
        </w:tc>
        <w:tc>
          <w:tcPr>
            <w:tcW w:w="0" w:type="auto"/>
            <w:tcBorders>
              <w:top w:val="single" w:color="auto" w:sz="2" w:space="0"/>
              <w:left w:val="single" w:color="auto" w:sz="2" w:space="0"/>
              <w:bottom w:val="nil"/>
              <w:right w:val="single" w:color="auto" w:sz="2" w:space="0"/>
            </w:tcBorders>
            <w:shd w:val="clear"/>
            <w:vAlign w:val="center"/>
          </w:tcPr>
          <w:p w14:paraId="450578B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约14.86 h</w:t>
            </w:r>
          </w:p>
        </w:tc>
        <w:tc>
          <w:tcPr>
            <w:tcW w:w="0" w:type="auto"/>
            <w:tcBorders>
              <w:top w:val="single" w:color="auto" w:sz="2" w:space="0"/>
              <w:left w:val="single" w:color="auto" w:sz="2" w:space="0"/>
              <w:bottom w:val="nil"/>
              <w:right w:val="single" w:color="auto" w:sz="2" w:space="0"/>
            </w:tcBorders>
            <w:shd w:val="clear"/>
            <w:vAlign w:val="center"/>
          </w:tcPr>
          <w:p w14:paraId="050F500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约7.73 h</w:t>
            </w:r>
          </w:p>
        </w:tc>
        <w:tc>
          <w:tcPr>
            <w:tcW w:w="0" w:type="auto"/>
            <w:tcBorders>
              <w:top w:val="single" w:color="auto" w:sz="2" w:space="0"/>
              <w:left w:val="single" w:color="auto" w:sz="2" w:space="0"/>
              <w:bottom w:val="nil"/>
              <w:right w:val="single" w:color="auto" w:sz="2" w:space="0"/>
            </w:tcBorders>
            <w:shd w:val="clear"/>
            <w:vAlign w:val="center"/>
          </w:tcPr>
          <w:p w14:paraId="20F11DB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自动化规模优势显著；版本治理、吞吐与失败重跑比单次GPU费用更重要</w:t>
            </w:r>
          </w:p>
        </w:tc>
      </w:tr>
    </w:tbl>
    <w:p w14:paraId="22B02D3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该情景分析的管理意义在于：当前2804张上SAM3仅增加约13 min，绝对成本极小，不能因为"成本低"就直接批准升级，也不能因为"只提升约2个mAP点"就忽略其潜在价值；应观察其在规模扩大和重复迭代后是否仍保持稳定正收益。若10万张数据上Verifier仍带来约2个百分点稳定mAP收益，而只增加约7.7 h第二教师推理时间，则其资源经济性与当前小数据集上的判断完全不同。反之，如果新Holdout收益消失，则即使SAM3仅需13 min，也属于没有必要的复杂度与失败风险。</w:t>
      </w:r>
    </w:p>
    <w:p w14:paraId="35012415">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7.4 标注生产成本量化规则</w:t>
      </w:r>
    </w:p>
    <w:p w14:paraId="46F4F01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在缺乏真实财务单价的当前阶段，采用物理量核算，避免制造"精确人民币成本"的假象。基本账本结构如下：</w:t>
      </w:r>
    </w:p>
    <w:p w14:paraId="51628DC4">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T_label(V1) = T_GD + T_prompt_amortized + T_review</w:t>
      </w:r>
    </w:p>
    <w:p w14:paraId="1CCEDC2B">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T_label(V2) = T_GD + T_SAM + T_review + T_rework</w:t>
      </w:r>
    </w:p>
    <w:p w14:paraId="3B607629">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i w:val="0"/>
          <w:iCs w:val="0"/>
          <w:caps w:val="0"/>
          <w:color w:val="222222"/>
          <w:spacing w:val="0"/>
          <w:sz w:val="16"/>
          <w:szCs w:val="16"/>
          <w:bdr w:val="single" w:color="E3E3E3" w:sz="2" w:space="0"/>
          <w:shd w:val="clear" w:fill="FFFFFF"/>
        </w:rPr>
        <w:t>T_cycle = T_label + ΣT_train(run) + T_validation + T_failure_retry</w:t>
      </w:r>
    </w:p>
    <w:p w14:paraId="228EC78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若后续获得人工小时单价w_h与GPU小时单价w_g，再做区间敏感性分析：C = w_h·H_human + w_g·H_gpu + C_other。论文正文优先报告人时、GPU时与迭代周期，货币化换算放在敏感性分析中。该处理方式符合工程管理研究中"可观测物理量先于货币估计"的方法论规范。</w:t>
      </w:r>
    </w:p>
    <w:p w14:paraId="7F8D922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自动化方案与人工方案的成本交点可表达为：</w:t>
      </w:r>
    </w:p>
    <w:p w14:paraId="61D053D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N* = (F_auto − F_H) / (c_H − c_auto)</w:t>
      </w:r>
    </w:p>
    <w:p w14:paraId="7A8B965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其中F表示固定配置成本，c_H和c_auto分别代表人工与自动方案的单位图像边际标签成本。该模型说明：小规模新项目中固定配置与审核成本可能影响自动化收益；而随着数据量增加，单位成本更低的自动化方案将逐渐摊薄固定成本并取得明显规模优势。</w:t>
      </w:r>
    </w:p>
    <w:p w14:paraId="4F4B1F64">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7.5 当前Stage-Gate判定</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44"/>
        <w:gridCol w:w="2390"/>
        <w:gridCol w:w="2270"/>
        <w:gridCol w:w="2387"/>
      </w:tblGrid>
      <w:tr w14:paraId="466C0C1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AF43F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Gate</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4A96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证据要求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F43815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最新证据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0D014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当前管理动作</w:t>
            </w:r>
          </w:p>
        </w:tc>
      </w:tr>
      <w:tr w14:paraId="4C97EFE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223B5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G0 语义提示冻结</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9ADE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独立语义提示评测、阈值稳定、版本记录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577EB7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工具与流程已具备；需正式冻结</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6BA77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Go：完成正式P1-P3并锁定配置</w:t>
            </w:r>
          </w:p>
        </w:tc>
      </w:tr>
      <w:tr w14:paraId="3D355E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1A96E9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G1 V1可训练</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44415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E1相对GT具有较高RM</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6DFB32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mAP50保留约89.5%，mAP50:95约86.0%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185286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Go：作为主教师生产基线</w:t>
            </w:r>
          </w:p>
        </w:tc>
      </w:tr>
      <w:tr w14:paraId="5C170D5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78035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G2 Verifier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5C748B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多seed非劣/正向，误删可控</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3CDE3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三seed mAP50和mAP50:95均正向</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E9C3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Provisional Go：进入新Pilot-Test</w:t>
            </w:r>
          </w:p>
        </w:tc>
      </w:tr>
      <w:tr w14:paraId="09D3278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E369A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G3 Append</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59A6F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新增框高Precision且学生效用稳定</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FCBA2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现有各版未形成稳定高IoU收益</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BF0A85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Hold：先人工抽检，不全量升级</w:t>
            </w:r>
          </w:p>
        </w:tc>
      </w:tr>
      <w:tr w14:paraId="276AD2C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2600D8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G4 Refiner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0B3F8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定位与学生效用同时改善</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716C7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 mAP50:95降至0.3701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30ABE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Stop：停止全量重定位</w:t>
            </w:r>
          </w:p>
        </w:tc>
      </w:tr>
      <w:tr w14:paraId="441F3BC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59E35D1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G5 最终V2</w:t>
            </w:r>
          </w:p>
        </w:tc>
        <w:tc>
          <w:tcPr>
            <w:tcW w:w="0" w:type="auto"/>
            <w:tcBorders>
              <w:top w:val="single" w:color="auto" w:sz="2" w:space="0"/>
              <w:left w:val="single" w:color="auto" w:sz="2" w:space="0"/>
              <w:bottom w:val="nil"/>
              <w:right w:val="single" w:color="auto" w:sz="2" w:space="0"/>
            </w:tcBorders>
            <w:shd w:val="clear"/>
            <w:vAlign w:val="center"/>
          </w:tcPr>
          <w:p w14:paraId="3A65793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新Holdout稳定非支配，成本可接受</w:t>
            </w:r>
          </w:p>
        </w:tc>
        <w:tc>
          <w:tcPr>
            <w:tcW w:w="0" w:type="auto"/>
            <w:tcBorders>
              <w:top w:val="single" w:color="auto" w:sz="2" w:space="0"/>
              <w:left w:val="single" w:color="auto" w:sz="2" w:space="0"/>
              <w:bottom w:val="nil"/>
              <w:right w:val="single" w:color="auto" w:sz="2" w:space="0"/>
            </w:tcBorders>
            <w:shd w:val="clear"/>
            <w:vAlign w:val="center"/>
          </w:tcPr>
          <w:p w14:paraId="4439DAB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尚未完成</w:t>
            </w:r>
          </w:p>
        </w:tc>
        <w:tc>
          <w:tcPr>
            <w:tcW w:w="0" w:type="auto"/>
            <w:tcBorders>
              <w:top w:val="single" w:color="auto" w:sz="2" w:space="0"/>
              <w:left w:val="single" w:color="auto" w:sz="2" w:space="0"/>
              <w:bottom w:val="nil"/>
              <w:right w:val="single" w:color="auto" w:sz="2" w:space="0"/>
            </w:tcBorders>
            <w:shd w:val="clear"/>
            <w:vAlign w:val="center"/>
          </w:tcPr>
          <w:p w14:paraId="1E4524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待执行；通过后才固化生产规则</w:t>
            </w:r>
          </w:p>
        </w:tc>
      </w:tr>
    </w:tbl>
    <w:p w14:paraId="2CE85D7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7.6 预注册式升级/停止规则</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72"/>
        <w:gridCol w:w="4278"/>
        <w:gridCol w:w="2441"/>
      </w:tblGrid>
      <w:tr w14:paraId="33E00F3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00D4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规则编号</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E31BA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触发条件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037F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管理动作</w:t>
            </w:r>
          </w:p>
        </w:tc>
      </w:tr>
      <w:tr w14:paraId="6357AC6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42F243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S1 无实际增益停止</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D8561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候选ΔmAP未超过E1多seed波动/预设实际差异门槛，且增加复杂度</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BD4BB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不进入全量生产</w:t>
            </w:r>
          </w:p>
        </w:tc>
      </w:tr>
      <w:tr w14:paraId="0D97182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04A12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S2 被支配停止</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B5FDE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候选成本更高，关键效用指标不优于基线</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5B7E7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从Pareto候选集剔除</w:t>
            </w:r>
          </w:p>
        </w:tc>
      </w:tr>
      <w:tr w14:paraId="2498625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3A739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S3 定位退化停止</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94205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mAP50:95明显下降或框粒度系统偏差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A008E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停止Box Refinement</w:t>
            </w:r>
          </w:p>
        </w:tc>
      </w:tr>
      <w:tr w14:paraId="20DD8EA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F38BA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S4 Append质量不足停止</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4EBC4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新增候选抽检Precision低于高门槛、重复率过高</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543D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停止全量补漏</w:t>
            </w:r>
          </w:p>
        </w:tc>
      </w:tr>
      <w:tr w14:paraId="3880E00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9EB5AC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S5 测试泄漏停止调参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ECA24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查看Pilot-Test后仍修改语义提示/SAM阈值</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7C8846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冻结参数；后续仅复现/报告</w:t>
            </w:r>
          </w:p>
        </w:tc>
      </w:tr>
      <w:tr w14:paraId="444DE55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48786B9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G1 升级</w:t>
            </w:r>
          </w:p>
        </w:tc>
        <w:tc>
          <w:tcPr>
            <w:tcW w:w="0" w:type="auto"/>
            <w:tcBorders>
              <w:top w:val="single" w:color="auto" w:sz="2" w:space="0"/>
              <w:left w:val="single" w:color="auto" w:sz="2" w:space="0"/>
              <w:bottom w:val="nil"/>
              <w:right w:val="single" w:color="auto" w:sz="2" w:space="0"/>
            </w:tcBorders>
            <w:shd w:val="clear"/>
            <w:vAlign w:val="center"/>
          </w:tcPr>
          <w:p w14:paraId="18D02D9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候选在Validation与新Holdout稳定非支配，且多seed/质量门槛通过</w:t>
            </w:r>
          </w:p>
        </w:tc>
        <w:tc>
          <w:tcPr>
            <w:tcW w:w="0" w:type="auto"/>
            <w:tcBorders>
              <w:top w:val="single" w:color="auto" w:sz="2" w:space="0"/>
              <w:left w:val="single" w:color="auto" w:sz="2" w:space="0"/>
              <w:bottom w:val="nil"/>
              <w:right w:val="single" w:color="auto" w:sz="2" w:space="0"/>
            </w:tcBorders>
            <w:shd w:val="clear"/>
            <w:vAlign w:val="center"/>
          </w:tcPr>
          <w:p w14:paraId="6EA0CF4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生成并冻结V2，进入资源配置评价</w:t>
            </w:r>
          </w:p>
        </w:tc>
      </w:tr>
    </w:tbl>
    <w:p w14:paraId="4BE6E13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上述规则的预注册设计借鉴了临床试验中"预设终止准则"的思想，其管理学价值在于：将"何时停止"从主观判断转化为可审计的制度安排，从而降低项目执行中的承诺升级（Escalation of Commitment）风险[28-29]。</w:t>
      </w:r>
    </w:p>
    <w:p w14:paraId="68595063">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7.7 Pareto与三类业务情景</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766"/>
        <w:gridCol w:w="2519"/>
        <w:gridCol w:w="5106"/>
      </w:tblGrid>
      <w:tr w14:paraId="1AA3B9F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BD682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情景</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04FBD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核心目标</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2C6EF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优先方案判断</w:t>
            </w:r>
          </w:p>
        </w:tc>
      </w:tr>
      <w:tr w14:paraId="2EDE861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4F599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F9CF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关键场景漏检代价高；可接受额外审核时间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ACA84B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若Verifier在新Holdout稳定提高Recall/mAP且无显著负向修改，允许升级V2</w:t>
            </w:r>
          </w:p>
        </w:tc>
      </w:tr>
      <w:tr w14:paraId="787C764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6C1CF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周期优先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26EC10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频繁冷启动、快速迭代</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674AE2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优先V1；只有第二教师收益明显且13 min级增量不引发额外返工才升级</w:t>
            </w:r>
          </w:p>
        </w:tc>
      </w:tr>
      <w:tr w14:paraId="7845A4C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418FA59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规模化生产</w:t>
            </w:r>
          </w:p>
        </w:tc>
        <w:tc>
          <w:tcPr>
            <w:tcW w:w="0" w:type="auto"/>
            <w:tcBorders>
              <w:top w:val="single" w:color="auto" w:sz="2" w:space="0"/>
              <w:left w:val="single" w:color="auto" w:sz="2" w:space="0"/>
              <w:bottom w:val="nil"/>
              <w:right w:val="single" w:color="auto" w:sz="2" w:space="0"/>
            </w:tcBorders>
            <w:shd w:val="clear"/>
            <w:vAlign w:val="center"/>
          </w:tcPr>
          <w:p w14:paraId="59CCF0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1万—10万张持续数据流</w:t>
            </w:r>
          </w:p>
        </w:tc>
        <w:tc>
          <w:tcPr>
            <w:tcW w:w="0" w:type="auto"/>
            <w:tcBorders>
              <w:top w:val="single" w:color="auto" w:sz="2" w:space="0"/>
              <w:left w:val="single" w:color="auto" w:sz="2" w:space="0"/>
              <w:bottom w:val="nil"/>
              <w:right w:val="single" w:color="auto" w:sz="2" w:space="0"/>
            </w:tcBorders>
            <w:shd w:val="clear"/>
            <w:vAlign w:val="center"/>
          </w:tcPr>
          <w:p w14:paraId="4AC5B5A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优先比较吞吐、失败重跑、抽检比例和版本治理；采用Pareto选择V1或Verifier V2</w:t>
            </w:r>
          </w:p>
        </w:tc>
      </w:tr>
    </w:tbl>
    <w:p w14:paraId="5A4C755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本章不把三类情景合并成一个主观加权总分，而通过Pareto前沿与情景约束给出选择边界[33-34]。这更符合工程项目中"不同目标权重对应不同方案"的现实决策逻辑，亦避免了伪精确的多准则排序对管理判断的误导。</w:t>
      </w:r>
    </w:p>
    <w:p w14:paraId="4D54BB57">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7.8 过程治理与最小审计链</w:t>
      </w:r>
    </w:p>
    <w:p w14:paraId="2E84E4D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当前代码已能够输出final_labels、kept/rejected DINO fire、SAM3 append、IoF rejected、preserved non-fire、per_image.csv、events.jsonl、sidecars、可视化和SUMMARY。正式论文将这些工程日志映射为治理指标，最少记录以下字段：image_id、source_group_id、data_version、source_model、checkpoint、语义提示_id、threshold、SAM调用状态、SAM模式、verification_state、rejection_reason、append_flag、box_source、fusion_rule、label_version、pipeline_version、train_run_id和random_seed。</w:t>
      </w:r>
    </w:p>
    <w:p w14:paraId="55150B7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该追溯链的设计依据是ISO/IEC 5259-4所规定的数据质量过程框架[23]与Gebru等提出的Datasheets for Datasets文档化要求[19]：训练数据项目不仅需要"结果指标"，还需要来源、版本、阈值、处理路径和评估记录的完整可追溯性。</w:t>
      </w:r>
    </w:p>
    <w:p w14:paraId="3F5A0CA5">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DF5F443">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八、创新点、可行性与风险控制</w:t>
      </w:r>
    </w:p>
    <w:p w14:paraId="646158B3">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8.1 预期创新点</w:t>
      </w:r>
    </w:p>
    <w:p w14:paraId="3C5788DF">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8.1.1 建模流程角度：面向非刚性目标的异构大模型级联工程化与自动化生产系统构建</w:t>
      </w:r>
    </w:p>
    <w:p w14:paraId="0F2B519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的核心工程创新在于：打破了传统视觉数据生产高度依赖人工逐框标注的瓶颈，针对火烟"非刚性、边界弥散、共生遮掩"的复杂特性，自主研发并落地了一套"异构大模型级联的自动化数据生产系统"。这并非基础模型的简单API拼接，而是包含大量定制化工程适配的系统级创新：</w:t>
      </w:r>
    </w:p>
    <w:p w14:paraId="3A404154">
      <w:pPr>
        <w:keepNext w:val="0"/>
        <w:keepLines w:val="0"/>
        <w:widowControl/>
        <w:numPr>
          <w:ilvl w:val="0"/>
          <w:numId w:val="6"/>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异构大模型的工程化适配与权限解耦</w:t>
      </w:r>
      <w:r>
        <w:rPr>
          <w:rFonts w:hint="default" w:ascii="sans-serif" w:hAnsi="sans-serif" w:eastAsia="sans-serif" w:cs="sans-serif"/>
          <w:i w:val="0"/>
          <w:iCs w:val="0"/>
          <w:caps w:val="0"/>
          <w:color w:val="222222"/>
          <w:spacing w:val="0"/>
          <w:sz w:val="16"/>
          <w:szCs w:val="16"/>
          <w:bdr w:val="single" w:color="E3E3E3" w:sz="2" w:space="0"/>
          <w:shd w:val="clear" w:fill="FFFFFF"/>
        </w:rPr>
        <w:t>：针对单一模型在火烟场景下的局限，创新性地设计了"Grounding DINO（主定位）+ SAM3（辅审核）+ YOLO（效用裁判）"的三级架构。在工程实现上，严格剥离了第二教师的"定位修改权"，仅赋予其"语义审核权"，从系统底层杜绝了多模型级联常见的"负向修改"与"几何退化"风险。</w:t>
      </w:r>
    </w:p>
    <w:p w14:paraId="7126E6D3">
      <w:pPr>
        <w:keepNext w:val="0"/>
        <w:keepLines w:val="0"/>
        <w:widowControl/>
        <w:numPr>
          <w:ilvl w:val="0"/>
          <w:numId w:val="6"/>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自动化管线的工程微创新矩阵</w:t>
      </w:r>
      <w:r>
        <w:rPr>
          <w:rFonts w:hint="default" w:ascii="sans-serif" w:hAnsi="sans-serif" w:eastAsia="sans-serif" w:cs="sans-serif"/>
          <w:i w:val="0"/>
          <w:iCs w:val="0"/>
          <w:caps w:val="0"/>
          <w:color w:val="222222"/>
          <w:spacing w:val="0"/>
          <w:sz w:val="16"/>
          <w:szCs w:val="16"/>
          <w:bdr w:val="single" w:color="E3E3E3" w:sz="2" w:space="0"/>
          <w:shd w:val="clear" w:fill="FFFFFF"/>
        </w:rPr>
        <w:t>：在管线研发过程中，针对实际工程痛点提出了一系列定制化机制。包括：将经验文本转化为可冻结的"低预算语义提示Benchmark"；提出"IoF（交前比）包含率过滤"以解决大模型级联时极易产生的"小框被大框包含但IoU极低"的重复候选治理难题；设计了"测试集噪声解耦与冲突仲裁"的自动化审计SOP。</w:t>
      </w:r>
    </w:p>
    <w:p w14:paraId="5A5B17DB">
      <w:pPr>
        <w:keepNext w:val="0"/>
        <w:keepLines w:val="0"/>
        <w:widowControl/>
        <w:numPr>
          <w:ilvl w:val="0"/>
          <w:numId w:val="6"/>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从"手工作坊"到"工业化流水线"的范式跨越</w:t>
      </w:r>
      <w:r>
        <w:rPr>
          <w:rFonts w:hint="default" w:ascii="sans-serif" w:hAnsi="sans-serif" w:eastAsia="sans-serif" w:cs="sans-serif"/>
          <w:i w:val="0"/>
          <w:iCs w:val="0"/>
          <w:caps w:val="0"/>
          <w:color w:val="222222"/>
          <w:spacing w:val="0"/>
          <w:sz w:val="16"/>
          <w:szCs w:val="16"/>
          <w:bdr w:val="single" w:color="E3E3E3" w:sz="2" w:space="0"/>
          <w:shd w:val="clear" w:fill="FFFFFF"/>
        </w:rPr>
        <w:t>：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14:paraId="44A86CB2">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8.1.2 方法/算法角度：低预算语义提示冻结与保守Verifier方法</w:t>
      </w:r>
    </w:p>
    <w:p w14:paraId="65730FE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在具体的数据生产与质量审计方法上，本研究提出了一系列面向火烟非刚性目标的低预算、高鲁棒性工程方法：</w:t>
      </w:r>
    </w:p>
    <w:p w14:paraId="00B8E09E">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边界扰动与冲突仲裁方法</w:t>
      </w:r>
      <w:r>
        <w:rPr>
          <w:rFonts w:hint="default" w:ascii="sans-serif" w:hAnsi="sans-serif" w:eastAsia="sans-serif" w:cs="sans-serif"/>
          <w:i w:val="0"/>
          <w:iCs w:val="0"/>
          <w:caps w:val="0"/>
          <w:color w:val="222222"/>
          <w:spacing w:val="0"/>
          <w:sz w:val="16"/>
          <w:szCs w:val="16"/>
          <w:bdr w:val="single" w:color="E3E3E3" w:sz="2" w:space="0"/>
          <w:shd w:val="clear" w:fill="FFFFFF"/>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Arbitration）"。通过数学化的扰动衰减曲线与第三方盲审SOP，量化剥离测试集噪声导致的性能折损率，为伪标签质量提供了超越单一mAP指标的方法论证明。</w:t>
      </w:r>
    </w:p>
    <w:p w14:paraId="2AE49B1E">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低预算语义提示Benchmark</w:t>
      </w:r>
      <w:r>
        <w:rPr>
          <w:rFonts w:hint="default" w:ascii="sans-serif" w:hAnsi="sans-serif" w:eastAsia="sans-serif" w:cs="sans-serif"/>
          <w:i w:val="0"/>
          <w:iCs w:val="0"/>
          <w:caps w:val="0"/>
          <w:color w:val="222222"/>
          <w:spacing w:val="0"/>
          <w:sz w:val="16"/>
          <w:szCs w:val="16"/>
          <w:bdr w:val="single" w:color="E3E3E3" w:sz="2" w:space="0"/>
          <w:shd w:val="clear" w:fill="FFFFFF"/>
        </w:rPr>
        <w:t>：将语义提示从经验文本输入重新定义为可冻结的工程参数，形成"独立评测—mAP/AP75主排序—阈值稳定区间—版本硬冻结"的低预算语义冷启动方法，有效降低了开放词汇模型在特定任务中的不稳定性。</w:t>
      </w:r>
    </w:p>
    <w:p w14:paraId="3A9258C4">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IoF包含率过滤与保守Verifier策略</w:t>
      </w:r>
      <w:r>
        <w:rPr>
          <w:rFonts w:hint="default" w:ascii="sans-serif" w:hAnsi="sans-serif" w:eastAsia="sans-serif" w:cs="sans-serif"/>
          <w:i w:val="0"/>
          <w:iCs w:val="0"/>
          <w:caps w:val="0"/>
          <w:color w:val="222222"/>
          <w:spacing w:val="0"/>
          <w:sz w:val="16"/>
          <w:szCs w:val="16"/>
          <w:bdr w:val="single" w:color="E3E3E3" w:sz="2" w:space="0"/>
          <w:shd w:val="clear" w:fill="FFFFFF"/>
        </w:rPr>
        <w:t>：针对第二教师SAM补漏（Append）极易引入重复框的问题，创新性地提出IoF（交前比）包含率过滤，精准解决"小SAM分割框被大DINO框包含但IoU极低"的重复候选治理难题；同时提出面向火焰类的保守Verifier策略（非fire旁路、强证据否决），在保障召回率的同时有效拦截低置信度误检。</w:t>
      </w:r>
    </w:p>
    <w:p w14:paraId="75C94D8E">
      <w:pPr>
        <w:pStyle w:val="5"/>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8.1.3 优化决策角度：纯标注成本剥离与"千-万-十万"规模情景Pareto选型</w:t>
      </w:r>
    </w:p>
    <w:p w14:paraId="529ED74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本研究在资源配置与项目决策层面实现了从"微观算力对比"到"宏观规模情景"的跨越：</w:t>
      </w:r>
    </w:p>
    <w:p w14:paraId="0AA680E3">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纯标注成本剥离与解耦核算</w:t>
      </w:r>
      <w:r>
        <w:rPr>
          <w:rFonts w:hint="default" w:ascii="sans-serif" w:hAnsi="sans-serif" w:eastAsia="sans-serif" w:cs="sans-serif"/>
          <w:i w:val="0"/>
          <w:iCs w:val="0"/>
          <w:caps w:val="0"/>
          <w:color w:val="222222"/>
          <w:spacing w:val="0"/>
          <w:sz w:val="16"/>
          <w:szCs w:val="16"/>
          <w:bdr w:val="single" w:color="E3E3E3" w:sz="2" w:space="0"/>
          <w:shd w:val="clear" w:fill="FFFFFF"/>
        </w:rPr>
        <w:t>：果断剥离所有方案共享的"下游YOLO训练沉没成本"，首创性地聚焦于"纯标注环节"的绝对成本对比（人工逐框工时 vs 大模型GPU机时+人工抽检）。这种解耦设计有效隔离了下游模型调优的干扰，使数据资产的初始生产效率评估更加纯粹、科学。</w:t>
      </w:r>
    </w:p>
    <w:p w14:paraId="59366CE1">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"千-万-十万"数量级规模测算</w:t>
      </w:r>
      <w:r>
        <w:rPr>
          <w:rFonts w:hint="default" w:ascii="sans-serif" w:hAnsi="sans-serif" w:eastAsia="sans-serif" w:cs="sans-serif"/>
          <w:i w:val="0"/>
          <w:iCs w:val="0"/>
          <w:caps w:val="0"/>
          <w:color w:val="222222"/>
          <w:spacing w:val="0"/>
          <w:sz w:val="16"/>
          <w:szCs w:val="16"/>
          <w:bdr w:val="single" w:color="E3E3E3" w:sz="2" w:space="0"/>
          <w:shd w:val="clear" w:fill="FFFFFF"/>
        </w:rPr>
        <w:t>：将资源决策从"单次GPU费用"拉升到数量级场景中进行线性外推，构建了1千、1万、10万张图像规模下的纯标注耗时差异测算表，揭示了自动化管线在万张及以上规模时彻底改变工程交付可行性的规模效应。</w:t>
      </w:r>
    </w:p>
    <w:p w14:paraId="2BD36B8C">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720" w:right="0" w:hanging="360"/>
      </w:pPr>
      <w:r>
        <w:rPr>
          <w:rFonts w:hint="default" w:ascii="sans-serif" w:hAnsi="sans-serif" w:eastAsia="sans-serif" w:cs="sans-serif"/>
          <w:b/>
          <w:bCs/>
          <w:i w:val="0"/>
          <w:iCs w:val="0"/>
          <w:caps w:val="0"/>
          <w:color w:val="222222"/>
          <w:spacing w:val="0"/>
          <w:sz w:val="16"/>
          <w:szCs w:val="16"/>
          <w:bdr w:val="single" w:color="E3E3E3" w:sz="2" w:space="0"/>
          <w:shd w:val="clear" w:fill="FFFFFF"/>
        </w:rPr>
        <w:t>业务情景驱动的Pareto选型矩阵</w:t>
      </w:r>
      <w:r>
        <w:rPr>
          <w:rFonts w:hint="default" w:ascii="sans-serif" w:hAnsi="sans-serif" w:eastAsia="sans-serif" w:cs="sans-serif"/>
          <w:i w:val="0"/>
          <w:iCs w:val="0"/>
          <w:caps w:val="0"/>
          <w:color w:val="222222"/>
          <w:spacing w:val="0"/>
          <w:sz w:val="16"/>
          <w:szCs w:val="16"/>
          <w:bdr w:val="single" w:color="E3E3E3" w:sz="2" w:space="0"/>
          <w:shd w:val="clear" w:fill="FFFFFF"/>
        </w:rPr>
        <w:t>：摒弃单一加权总分的伪科学评价，构建"规模-情景-选型"帕累托决策矩阵。针对"高精度合规/极小样本（情景A：人工主导+管线辅助）"、"敏捷迭代/日常扩充（情景B：V1单教师管线）"、"海量数据/长尾覆盖（情景C：V2双教师管线）"三类典型工业界业务情景，给出了直接的Pareto最优选型方案，为AI数据项目经理提供了极具实操价值的资源配置指南。</w:t>
      </w:r>
    </w:p>
    <w:p w14:paraId="4E6310DA">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8.2 可行性分析</w:t>
      </w:r>
    </w:p>
    <w:p w14:paraId="28A7BFE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数据基础：已有约2804张Training/Development图像、274张统一Pilot评测数据和人工GT资源；开题后可进一步冻结新Pilot-Test。</w:t>
      </w:r>
    </w:p>
    <w:p w14:paraId="4E58AF4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工程基础：Grounding DINO、YOLO、SAM3均已有可运行脚本，且语义提示缓存、原子写入、审计日志和debug标签流已经实现。</w:t>
      </w:r>
    </w:p>
    <w:p w14:paraId="2638CA4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实验基础：E0/E1、SAM3多角色消融和E2A三seed已完成，研究已从"能否跑通"进入"如何验证与管理"的阶段。</w:t>
      </w:r>
    </w:p>
    <w:p w14:paraId="788F24D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管理基础：人工标注工时、GD/SAM推理时间、YOLO训练时间、调用次数、重训run和版本信息均可由日志记录。</w:t>
      </w:r>
    </w:p>
    <w:p w14:paraId="3AEC80A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结果中性：Verifier若新Holdout无收益，可形成停止规则；Append/Refiner负结果仍能支撑第二教师适用边界研究。</w:t>
      </w:r>
    </w:p>
    <w:p w14:paraId="6E7C600B">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8.3 主要风险与控制措施</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63"/>
        <w:gridCol w:w="1611"/>
        <w:gridCol w:w="4517"/>
      </w:tblGrid>
      <w:tr w14:paraId="703C766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04AEA5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风险</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FF71B9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影响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49B3E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控制措施</w:t>
            </w:r>
          </w:p>
        </w:tc>
      </w:tr>
      <w:tr w14:paraId="7A8939B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9DCB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274张Pilot-Test已多次查看</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AFB55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泛化结论偏乐观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4BA3C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优先新建未触碰Pilot-Test；历史274仅作可比Pilot</w:t>
            </w:r>
          </w:p>
        </w:tc>
      </w:tr>
      <w:tr w14:paraId="4711BBD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D7BC2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语义提示参考集过拟合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BAA09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主教师配置泛化不足</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A67521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分层抽样、Top-2复筛、稳定区间而非单点最优</w:t>
            </w:r>
          </w:p>
        </w:tc>
      </w:tr>
      <w:tr w14:paraId="70CFEC6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22F08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Verifier误删真火</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60DFCC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Recall/安全性受损</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5CF4F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三档审核、默认信DINO、抽检reject、只给SAM强证据否决权</w:t>
            </w:r>
          </w:p>
        </w:tc>
      </w:tr>
      <w:tr w14:paraId="54F2DD6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8F69DF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Append引入FP/重复框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CBCB9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错误监督增加</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B92DC6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candidate先隔离；IoU+IoF+NMS；抽检Precision不过门不全量</w:t>
            </w:r>
          </w:p>
        </w:tc>
      </w:tr>
      <w:tr w14:paraId="5A0343B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3DD24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SAM框粒度与检测GT不一致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96E32E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mAP50:95下降</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F3EF03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DINO保留定位权；Refiner只保留负消融</w:t>
            </w:r>
          </w:p>
        </w:tc>
      </w:tr>
      <w:tr w14:paraId="54B6D89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97B70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seed波动掩盖小增益</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91A86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误判候选有效</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3CD1FF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E1与最终候选至少3 seeds；报告均值、Std、配对差值和新Holdout</w:t>
            </w:r>
          </w:p>
        </w:tc>
      </w:tr>
      <w:tr w14:paraId="7B94A16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1419B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管理章节被技术细节淹没</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99E34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MEM属性不足</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E21773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每个技术模块对应标注生产成本、Gate、资源/周期或治理输出</w:t>
            </w:r>
          </w:p>
        </w:tc>
      </w:tr>
      <w:tr w14:paraId="381ECA2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685FEED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成本单价不确定</w:t>
            </w:r>
          </w:p>
        </w:tc>
        <w:tc>
          <w:tcPr>
            <w:tcW w:w="0" w:type="auto"/>
            <w:tcBorders>
              <w:top w:val="single" w:color="auto" w:sz="2" w:space="0"/>
              <w:left w:val="single" w:color="auto" w:sz="2" w:space="0"/>
              <w:bottom w:val="nil"/>
              <w:right w:val="single" w:color="auto" w:sz="2" w:space="0"/>
            </w:tcBorders>
            <w:shd w:val="clear"/>
            <w:vAlign w:val="center"/>
          </w:tcPr>
          <w:p w14:paraId="5865EF3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人民币结论不稳</w:t>
            </w:r>
          </w:p>
        </w:tc>
        <w:tc>
          <w:tcPr>
            <w:tcW w:w="0" w:type="auto"/>
            <w:tcBorders>
              <w:top w:val="single" w:color="auto" w:sz="2" w:space="0"/>
              <w:left w:val="single" w:color="auto" w:sz="2" w:space="0"/>
              <w:bottom w:val="nil"/>
              <w:right w:val="single" w:color="auto" w:sz="2" w:space="0"/>
            </w:tcBorders>
            <w:shd w:val="clear"/>
            <w:vAlign w:val="center"/>
          </w:tcPr>
          <w:p w14:paraId="281C283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正文用人时/GPU时/周期；价格区间只做敏感性分析</w:t>
            </w:r>
          </w:p>
        </w:tc>
      </w:tr>
    </w:tbl>
    <w:p w14:paraId="18CADDF5">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D42CF26">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九、研究计划与预期成果</w:t>
      </w:r>
    </w:p>
    <w:p w14:paraId="6268D242">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9.1 后续研究计划</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895"/>
        <w:gridCol w:w="4200"/>
        <w:gridCol w:w="2294"/>
        <w:gridCol w:w="1002"/>
      </w:tblGrid>
      <w:tr w14:paraId="49F55D1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2F156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时间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D62F50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主要工作</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8E008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阶段输出</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2C93D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对应Gate</w:t>
            </w:r>
          </w:p>
        </w:tc>
      </w:tr>
      <w:tr w14:paraId="391EF79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C89303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2026.08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B46FF0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冻结研究协议；完成正式语义提示P1-P3；清理数据版本；确定新Pilot-Test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0C14A5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语义提示V1冻结配置、数据清单、G0证据包</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F82A7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G0</w:t>
            </w:r>
          </w:p>
        </w:tc>
      </w:tr>
      <w:tr w14:paraId="428C629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91927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41206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按冻结配置复现E0/E1；完成V1误差诊断；固化E2A Verifier三档规则</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7AEA1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正式基线报告、噪声水平δ、Verifier候选配置</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CDEB4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G1</w:t>
            </w:r>
          </w:p>
        </w:tc>
      </w:tr>
      <w:tr w14:paraId="1BCA0F0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B3ADD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21B8B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在Development/Validation完成Reject抽检与Append边界实验；不再用274 Pilot调参</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1586E7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G2/G3 Go-Hold-Stop证据包</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D239E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G2、G3</w:t>
            </w:r>
          </w:p>
        </w:tc>
      </w:tr>
      <w:tr w14:paraId="69ACC78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6DBF5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D9529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仅对通过门槛的Verifier V2全量生成；E0/E1/V2统一3 seeds训练</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F4993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V2标签集、多seed训练日志</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1814B3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G4（Stop确认）</w:t>
            </w:r>
          </w:p>
        </w:tc>
      </w:tr>
      <w:tr w14:paraId="54CE242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74A23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2026.12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051941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新Pilot-Test一次性评估；按来源/尺度/类别分层；bootstrap置信区间</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6C3BE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最终技术证据报告</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CD17F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G5</w:t>
            </w:r>
          </w:p>
        </w:tc>
      </w:tr>
      <w:tr w14:paraId="681D2ED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D108D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2027.01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123E28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汇总人工/GPU/重训/周期数据；完成标注生产成本核算、规模情景分析与Pareto前沿</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1A6CE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MEM资源配置报告与停止规则文件</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ABEE33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w:t>
            </w:r>
          </w:p>
        </w:tc>
      </w:tr>
      <w:tr w14:paraId="26E10C2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BFC941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2027.02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A2ADA9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完成论文初稿；核对引用、图表、审计链与附录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60B8F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论文初稿</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46081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w:t>
            </w:r>
          </w:p>
        </w:tc>
      </w:tr>
      <w:tr w14:paraId="6F495EE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5949AA4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2027.03</w:t>
            </w:r>
          </w:p>
        </w:tc>
        <w:tc>
          <w:tcPr>
            <w:tcW w:w="0" w:type="auto"/>
            <w:tcBorders>
              <w:top w:val="single" w:color="auto" w:sz="2" w:space="0"/>
              <w:left w:val="single" w:color="auto" w:sz="2" w:space="0"/>
              <w:bottom w:val="nil"/>
              <w:right w:val="single" w:color="auto" w:sz="2" w:space="0"/>
            </w:tcBorders>
            <w:shd w:val="clear"/>
            <w:vAlign w:val="center"/>
          </w:tcPr>
          <w:p w14:paraId="5761F40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根据导师与预答辩意见修改，准备定稿与答辩</w:t>
            </w:r>
          </w:p>
        </w:tc>
        <w:tc>
          <w:tcPr>
            <w:tcW w:w="0" w:type="auto"/>
            <w:tcBorders>
              <w:top w:val="single" w:color="auto" w:sz="2" w:space="0"/>
              <w:left w:val="single" w:color="auto" w:sz="2" w:space="0"/>
              <w:bottom w:val="nil"/>
              <w:right w:val="single" w:color="auto" w:sz="2" w:space="0"/>
            </w:tcBorders>
            <w:shd w:val="clear"/>
            <w:vAlign w:val="center"/>
          </w:tcPr>
          <w:p w14:paraId="6DC60F1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论文定稿版</w:t>
            </w:r>
          </w:p>
        </w:tc>
        <w:tc>
          <w:tcPr>
            <w:tcW w:w="0" w:type="auto"/>
            <w:tcBorders>
              <w:top w:val="single" w:color="auto" w:sz="2" w:space="0"/>
              <w:left w:val="single" w:color="auto" w:sz="2" w:space="0"/>
              <w:bottom w:val="nil"/>
              <w:right w:val="single" w:color="auto" w:sz="2" w:space="0"/>
            </w:tcBorders>
            <w:shd w:val="clear"/>
            <w:vAlign w:val="center"/>
          </w:tcPr>
          <w:p w14:paraId="67FC266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w:t>
            </w:r>
          </w:p>
        </w:tc>
      </w:tr>
    </w:tbl>
    <w:p w14:paraId="77DAA9C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上述时间安排遵循"先冻结、后生产、再验证"的序贯逻辑：参数冻结（2026.08）先于正式实验（2026.09-10），正式实验先于最终评估（2026.11-12），最终评估先于管理分析（2027.01）。这一序贯约束确保每一阶段的输出构成下一阶段的输入前提，避免并行操作带来的版本混乱与结果不可复现。</w:t>
      </w:r>
    </w:p>
    <w:p w14:paraId="1BB744A6">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9.2 预期成果</w:t>
      </w:r>
    </w:p>
    <w:p w14:paraId="1694822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低预算语义提示Benchmark与硬冻结配置规范</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形成一套面向火烟特定任务的语义提示冷启动控制方案，产出"独立评测—主排序—阈值稳定区间—版本硬冻结"的标准化配置控制流水线与参数台账。该成果为开放词汇模型在垂直领域的数据生产提供了可复现的配置管理范式。</w:t>
      </w:r>
    </w:p>
    <w:p w14:paraId="5EF47E7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面向非刚性目标的异构大模型级联自动化生产系统</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。交付一套集成"Grounding DINO（主定位）+ SAM3（辅审核）+ YOLO（效用裁判）"的三级级联工程化管线，实现数据生产从依赖人工经验的手工作坊向标准化、可追溯、权限不对称、可自适应阻断的工业化流水线的范式跨越。</w:t>
      </w:r>
    </w:p>
    <w:p w14:paraId="273D611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多维伪标签质量诊断体系与噪声解耦审计SOP</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。构建包含漏检、误检、空间定位偏差的质量诊断模型；形成边界扰动敏感性审计方法，输出量化剥离测试集噪声导致的性能折损率以及测算下游效用保留率的第三方盲审标准作业程序。</w:t>
      </w:r>
    </w:p>
    <w:p w14:paraId="79CFE44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（4）</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多教师权限解耦机制与保守Verifier控制路径</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明确辅助教师在多级架构中的管理角色边界，产出"剥离定位修改权、仅赋予语义审核权"的系统层权限解耦方案；确立基于IoF（交前比）包含率过滤与强证据否决的保守Verifier策略，输出级联系统自适应阻断的触发阈值矩阵。</w:t>
      </w:r>
    </w:p>
    <w:p w14:paraId="623B565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（5）</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纯标注成本解耦核算账本与规模化情景资源配置矩阵</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。形成剥离下游训练沉没成本的"纯标注环节"绝对成本核算模型（人工逐框工时 vs 大模型GPU机时+人工抽检）；交付涵盖"1千、1万、10万"张图像数量级的纯标注耗时与人工/自动化资源消耗差异测算表。</w:t>
      </w:r>
    </w:p>
    <w:p w14:paraId="116CEFF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（6）</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预注册式Stage-Gate升级/停止规则集</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。形成包含Go、Hold、Stop三类决策及其触发条件的完整规则文件，使后续同类项目能够直接参照执行，降低重复探索的管理成本。</w:t>
      </w:r>
    </w:p>
    <w:p w14:paraId="14676D2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（7）</w:t>
      </w: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最小粒度数据追溯链（MTC）工程标准</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。确立涵盖"数据版本—提示词ID—标签版本—流水线ID—训练实例—测试报告"的标准化全流程数据追溯链规范，为同类非刚性目标的AI数据工程管理提供可复现的制度性底座。</w:t>
      </w:r>
    </w:p>
    <w:p w14:paraId="695B8A17">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D738F9A">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十、论文拟定目录</w:t>
      </w:r>
    </w:p>
    <w:p w14:paraId="640B303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第一章 绪论</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1.1 研究背景与课题来源 1.2 研究问题提出 1.3 研究目的与研究意义 1.4 国内外研究现状概述 1.5 研究内容与研究方法 1.6 技术—管理双主线 1.7 主要创新点</w:t>
      </w:r>
    </w:p>
    <w:p w14:paraId="2FE85CB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第二章 理论基础与研究框架</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2.1 AI训练数据质量与下游效用 2.2 开放词汇检测与双教师机制 2.3 标注生产成本与资源核算 2.4 Stage-Gate与项目决策 2.5 Pareto与规模化资源配置 2.6 AI生命周期与可追溯治理 2.7 本文总体研究框架</w:t>
      </w:r>
    </w:p>
    <w:p w14:paraId="3EA2EC4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第三章 低预算语义提示规范化与主教师伪标签V1</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3.1 数据版本与实验协议 3.2 fire/smoke语义提示候选构建 3.3 序贯语义提示粗筛与复筛（P1-P2） 3.4 语义提示与阈值冻结（P3） 3.5 Grounding DINO V1生产 3.6 YOLO下游基线与性能保留率 3.7 本章小结</w:t>
      </w:r>
    </w:p>
    <w:p w14:paraId="580C1D4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第四章 伪标签质量诊断与第二教师角色边界</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4.1 伪标签错误分类与诊断指标 4.2 主教师V1误差机制分析 4.3 SAM3 Verifier机制与三档审核 4.4 Append与IoF安全门 4.5 Box Refinement负消融与停止依据 4.6 Stage-Gate Go/Hold/Stop结果 4.7 本章小结</w:t>
      </w:r>
    </w:p>
    <w:p w14:paraId="4E4BF71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第五章 双教师候选V2的下游效用与稳健性验证</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5.1 Verifier-only V2标签生成 5.2 统一YOLO多seed训练协议 5.3 Pilot-Test历史可比分析 5.4 新Pilot-Test一次性评估 5.5 fire/smoke、尺度与来源分层分析 5.6 标签质量—学生效用映射关系 5.7 本章小结</w:t>
      </w:r>
    </w:p>
    <w:p w14:paraId="4523487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第六章 训练数据生产的标注生产成本与资源配置</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6.1 管理评价对象与成本边界 6.2 人工与自动化标注生产成本对比 6.3 千/万/十万张规模情景分析 6.4 边际效率与Pareto前沿 6.5 Stage-Gate升级/停止规则 6.6 过程追溯与项目治理建议 6.7 本章小结</w:t>
      </w:r>
    </w:p>
    <w:p w14:paraId="258CD42A">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b/>
          <w:bCs/>
          <w:i w:val="0"/>
          <w:iCs w:val="0"/>
          <w:caps w:val="0"/>
          <w:color w:val="222222"/>
          <w:spacing w:val="0"/>
          <w:kern w:val="0"/>
          <w:sz w:val="16"/>
          <w:szCs w:val="16"/>
          <w:bdr w:val="single" w:color="E3E3E3" w:sz="2" w:space="0"/>
          <w:shd w:val="clear" w:fill="FFFFFF"/>
          <w:lang w:val="en-US" w:eastAsia="zh-CN" w:bidi="ar"/>
        </w:rPr>
        <w:t>第七章 结论与展望</w:t>
      </w: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 xml:space="preserve"> 7.1 主要研究结论 7.2 工程管理启示 7.3 研究局限 7.4 后续研究展望</w:t>
      </w:r>
    </w:p>
    <w:p w14:paraId="1D854AD2">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F54254B">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十一、主要参考文献</w:t>
      </w:r>
    </w:p>
    <w:p w14:paraId="262B21C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 邓力, 周进, 刘全义. 基于改进YOLOv8的火焰与烟雾检测算法[J]. 清华大学学报(自然科学版), 2025, 65(4): 681-689.</w:t>
      </w:r>
    </w:p>
    <w:p w14:paraId="4F7861C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 郭震, 张宁伟, 闫秋艳, 高扬. 基于改进YOLOv8的火灾早期烟雾检测算法[J]. 湖南大学学报(自然科学版), 2026, 53(6): 36-49.</w:t>
      </w:r>
    </w:p>
    <w:p w14:paraId="45C0CF0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 丁燕, 王磊, 袁英. 基于改进YOLOv8n模型的小目标火焰检测[J]. 安全与环境工程, 2026, 33(1): 169-180.</w:t>
      </w:r>
    </w:p>
    <w:p w14:paraId="4169629F">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[4] Liu S, Zeng Z, Ren T, et al. Grounding DINO: Marrying DINO with Grounded Pre-Training for Open-Set Object Detection[C]//European Conference on Computer Vision. Cham: Springer, 2024: 38-55. DOI:10.1007/978-3-031-72970-6_3.</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"https://www.sci-hub.vg/10.1007/978-3-031-72970-6_3."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79AB5C3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[5] Kirillov A, Mintun E, Ravi N, et al. Segment Anything[C]//Proceedings of the IEEE/CVF International Conference on Computer Vision. Paris: IEEE, 2023: 4015-4026. DOI:10.1109/ICCV51070.2023.00371.</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"https://www.sci-hub.vg/10.1109/ICCV51070.2023.00371."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09B40A2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[6] Ravi N, Gabeur V, Hu Y T, et al. SAM 2: Segment Anything in Images and Videos[EB/OL]. arXiv:2408.00714, 2024.</w:t>
      </w:r>
    </w:p>
    <w:p w14:paraId="7DA570C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[7] Carion N, Gustafson L, Hu Y T, et al. SAM 3: Segment Anything with Concepts[EB/OL]. arXiv:2511.16719, 2025.</w:t>
      </w:r>
    </w:p>
    <w:p w14:paraId="54FCC4C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[8] Sohn K, Berthelot D, Li C L, et al. FixMatch: Simplifying Semi-Supervised Learning with Consistency and Confidence[C]//Advances in Neural Information Processing Systems. 2020, 33: 596-608.</w:t>
      </w:r>
    </w:p>
    <w:p w14:paraId="1149197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[9] Liu Y C, Ma C Y, He Z, et al. Unbiased Teacher for Semi-Supervised Object Detection[C]//International Conference on Learning Representations. 2021.</w:t>
      </w:r>
    </w:p>
    <w:p w14:paraId="2F2753A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[10] Xu M, Zhang Z, Hu H, et al. End-to-End Semi-Supervised Object Detection with Soft Teacher[C]//Proceedings of the IEEE/CVF International Conference on Computer Vision. Montreal: IEEE, 2021: 3060-3069.</w:t>
      </w:r>
    </w:p>
    <w:p w14:paraId="0A834FB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[11] Zhou H, Ge Z, Liu S, et al. Dense Teacher: Dense Pseudo-Labels for Semi-Supervised Object Detection[C]//European Conference on Computer Vision. Cham: Springer, 2022: 35-50.</w:t>
      </w:r>
    </w:p>
    <w:p w14:paraId="1C849F8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[12] Tarvainen A, Valpola H. Mean Teachers Are Better Role Models: Weight-Averaged Consistency Targets Improve Semi-Supervised Deep Learning Results[C]//Advances in Neural Information Processing Systems. 2017, 30: 1195-1204.</w:t>
      </w:r>
    </w:p>
    <w:p w14:paraId="4B88ED5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[13] Hussain A, Ullah K, Afaq M, et al. Quality over Quantity: A Data-Centric Survey of Annotation Errors in Object Detection Datasets[J]. Artificial Intelligence Review, 2026, 59: 107.</w:t>
      </w:r>
    </w:p>
    <w:p w14:paraId="49BA24A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[14] Freire A, de S. Silva L H, de Andrade J V R, Azevedo G O A, Fernandes B J T. Beyond Clean Data: Exploring the Effects of Label Noise on Object Detection Performance[J]. Knowledge-Based Systems, 2024, 304: 112544. DOI:10.1016/j.knosys.2024.112544.</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"https://www.sci-hub.vg/10.1016/j.knosys.2024.112544."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3B0ADAA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[15] Ma J, Ushiku Y, Sagara M. The Effect of Improving Annotation Quality on Object Detection Datasets: A Preliminary Study[C]//CVPR Workshops. New Orleans: IEEE, 2022.</w:t>
      </w:r>
    </w:p>
    <w:p w14:paraId="4B8BA26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[16] Northcutt C G, Athalye A, Mueller J. Pervasive Label Errors in Test Sets Destabilize Machine Learning Benchmarks[C]//NeurIPS Datasets and Benchmarks Track. 2021.</w:t>
      </w:r>
    </w:p>
    <w:p w14:paraId="0729671E">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[17] Gong Y, Liu G, Xue Y, Li R, Meng L. A Survey on Dataset Quality in Machine Learning[J]. Information and Software Technology, 2023, 162: 107268. DOI:10.1016/j.infsof.2023.107268.</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"https://www.sci-hub.vg/10.1016/j.infsof.2023.107268."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0CBDD16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[18] Mohammed S, Budach L, Feuerpfeil M, et al. The Effects of Data Quality on Machine Learning Performance[EB/OL]. arXiv:2207.14529, 2022.</w:t>
      </w:r>
    </w:p>
    <w:p w14:paraId="4D36BEC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[19] Gebru T, Morgenstern J, Vecchione B, et al. Datasheets for Datasets[J]. Communications of the ACM, 2021, 64(12): 86-92. DOI:10.1145/3458723.</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"https://www.sci-hub.vg/10.1145/3458723."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75AEFF5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[20] Pushkarna M, Zaldivar A, Kjartansson O. Data Cards: Purposeful and Transparent Dataset Documentation for Responsible AI[C]//ACM Conference on Fairness, Accountability, and Transparency. Seoul: ACM, 2022: 1776-1786.</w:t>
      </w:r>
    </w:p>
    <w:p w14:paraId="5BB47E32">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[21] ISO/IEC 5259-1:2024. Artificial Intelligence—Data Quality for Analytics and Machine Learning (ML)—Part 1: Overview, Terminology, and Examples[S]. Geneva: ISO, 2024.</w:t>
      </w:r>
    </w:p>
    <w:p w14:paraId="6AB97DB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[22] ISO/IEC 5259-3:2024. Artificial Intelligence—Data Quality for Analytics and Machine Learning (ML)—Part 3: Data Quality Management Requirements and Guidelines[S]. Geneva: ISO, 2024.</w:t>
      </w:r>
    </w:p>
    <w:p w14:paraId="51F0526C">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[23] ISO/IEC 5259-4:2024. Artificial Intelligence—Data Quality for Analytics and Machine Learning (ML)—Part 4: Data Quality Process Framework[S]. Geneva: ISO, 2024.</w:t>
      </w:r>
    </w:p>
    <w:p w14:paraId="49120D7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[24] ISO/IEC 5259-5:2025. Artificial Intelligence—Data Quality for Analytics and Machine Learning (ML)—Part 5: Data Quality Governance Framework[S]. Geneva: ISO, 2025.</w:t>
      </w:r>
    </w:p>
    <w:p w14:paraId="35D9190B">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[25] ISO/IEC 42001:2023. Information Technology—Artificial Intelligence—Management System[S]. Geneva: ISO, 2023.</w:t>
      </w:r>
    </w:p>
    <w:p w14:paraId="2DC8F447">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[26] ISO/IEC 23894:2023. Information Technology—Artificial Intelligence—Guidance on Risk Management[S]. Geneva: ISO, 2023.</w:t>
      </w:r>
    </w:p>
    <w:p w14:paraId="26FE7103">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[27] Tabassi E. Artificial Intelligence Risk Management Framework (AI RMF 1.0)[R]. NIST AI 100-1. Gaithersburg: NIST, 2023. DOI:10.6028/NIST.AI.100-1.</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"https://www.sci-hub.vg/10.6028/NIST.AI.100-1."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13A71C2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[28] Cooper R G. Stage-Gate Systems: A New Tool for Managing New Products[J]. Business Horizons, 1990, 33(3): 44-54.</w:t>
      </w:r>
    </w:p>
    <w:p w14:paraId="36EF8670">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[29] Cooper R G. Perspective: The Stage-Gate Idea-to-Launch Process—Update, What's New, and NexGen Systems[J]. Journal of Product Innovation Management, 2008, 25(3): 213-232. DOI:10.1111/j.1540-5885.2008.00296.x.</w: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begin"/>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instrText xml:space="preserve"> HYPERLINK "https://www.sci-hub.vg/10.1111/j.1540-5885.2008.00296.x." \t "https://chat.qwen.ai/c/_blank" </w:instrText>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separate"/>
      </w:r>
      <w:r>
        <w:rPr>
          <w:rFonts w:hint="default" w:ascii="sans-serif" w:hAnsi="sans-serif" w:eastAsia="sans-serif" w:cs="sans-serif"/>
          <w:i w:val="0"/>
          <w:iCs w:val="0"/>
          <w:caps w:val="0"/>
          <w:spacing w:val="0"/>
          <w:kern w:val="0"/>
          <w:sz w:val="16"/>
          <w:szCs w:val="16"/>
          <w:bdr w:val="single" w:color="E3E3E3" w:sz="2" w:space="0"/>
          <w:shd w:val="clear" w:fill="FFFFFF"/>
          <w:lang w:val="en-US" w:eastAsia="zh-CN" w:bidi="ar"/>
        </w:rPr>
        <w:fldChar w:fldCharType="end"/>
      </w:r>
    </w:p>
    <w:p w14:paraId="4958F5C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[30] Deb K. Multi-Objective Optimization Using Evolutionary Algorithms[M]. Chichester: Wiley, 2001.</w:t>
      </w:r>
    </w:p>
    <w:p w14:paraId="56368F3D">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[31] Ehrgott M. Multicriteria Optimization[M]. 2nd ed. Berlin: Springer, 2005.</w:t>
      </w:r>
    </w:p>
    <w:p w14:paraId="001C82C9">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[32] Lee D H. Pseudo-Label: The Simple and Efficient Semi-Supervised Learning Method for Deep Neural Networks[C]//ICML Workshop on Challenges in Representation Learning. Atlanta, 2013.</w:t>
      </w:r>
    </w:p>
    <w:p w14:paraId="503B1FD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[33] Zreiqat D Z, Nguyen V, Rawashdeh N A. Label Quality as a Bottleneck for YOLO Detection in All-Weather Autonomous Driving Using the MUSES Dataset[J]. Discover Electronics, 2026, 3: 91.</w:t>
      </w:r>
    </w:p>
    <w:p w14:paraId="12E95FFA">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BF8E3F4">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附录A 开题后正式实验执行清单</w:t>
      </w:r>
    </w:p>
    <w:p w14:paraId="12FDA651">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使用方式：每完成一项，在实验日志中记录run_id、时间、GPU小时、人工小时、数据/标签/模型版本及Gate结论。参数选择必须停留在Development/Validation，Pilot-Test查看后不得继续调参。</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457"/>
        <w:gridCol w:w="1609"/>
        <w:gridCol w:w="6325"/>
      </w:tblGrid>
      <w:tr w14:paraId="75B2300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47340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编号</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C0D38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执行事项</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8270BB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完成标准</w:t>
            </w:r>
          </w:p>
        </w:tc>
      </w:tr>
      <w:tr w14:paraId="406DDB1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9CB9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FD6B2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数据与测试治理</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A2486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冻结2804张Training/Development清单；建立source_group_id；274张Pilot-Test停止调参；优先新建未触碰Pilot-Test</w:t>
            </w:r>
          </w:p>
        </w:tc>
      </w:tr>
      <w:tr w14:paraId="1587C48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684B1B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CB83A4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语义提示冻结</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9C80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完成候选粗筛、Top-2复筛；固定fire/smoke语义提示、score threshold、语义提示_id与配置指纹</w:t>
            </w:r>
          </w:p>
        </w:tc>
      </w:tr>
      <w:tr w14:paraId="33062D4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313C57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3D155A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正式E0/E1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8CAB9E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统一YOLO超参数；E0/E1各≥3 seeds；计算均值、Std、RM和历史Pilot可比结果</w:t>
            </w:r>
          </w:p>
        </w:tc>
      </w:tr>
      <w:tr w14:paraId="40FC6D3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68DBFD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F40C1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质量诊断</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D4780F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分fire/smoke统计missing、FP、over/under-box、many-to-one、小目标；输出典型图和错误占比</w:t>
            </w:r>
          </w:p>
        </w:tc>
      </w:tr>
      <w:tr w14:paraId="1147132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7D683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3970D7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Verifier三档</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67F6D0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默认保留DINO、强证据否决；宽松/基准/严格仅在Development/Validation选择</w:t>
            </w:r>
          </w:p>
        </w:tc>
      </w:tr>
      <w:tr w14:paraId="6FE07E6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CB0862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13D2A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Reject人工抽检</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F296D6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抽被删除框，统计真FP比例；若误删真火高则收紧否决权</w:t>
            </w:r>
          </w:p>
        </w:tc>
      </w:tr>
      <w:tr w14:paraId="6D73C07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48D4AF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E2A98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Append安全门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585890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SAM新增目标先存candidate；抽检≥300候选；Precision未达高门槛则停止全量</w:t>
            </w:r>
          </w:p>
        </w:tc>
      </w:tr>
      <w:tr w14:paraId="054086F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5E6D67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03A20C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IoF边界</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26B18A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在Development比较0.3/0.7等阈值；审核rejected_by_iof，避免使用Pilot-Test选阈值</w:t>
            </w:r>
          </w:p>
        </w:tc>
      </w:tr>
      <w:tr w14:paraId="6425425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22341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BF96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Refinement停止门</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30FE8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除非新规范同时改善定位与YOLO效用，否则不再全量重定位</w:t>
            </w:r>
          </w:p>
        </w:tc>
      </w:tr>
      <w:tr w14:paraId="26F6553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47BD69D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6C59F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候选全量V2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1044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仅通过G2/G3的最优候选在全量数据生成；当前优先Verifier-only</w:t>
            </w:r>
          </w:p>
        </w:tc>
      </w:tr>
      <w:tr w14:paraId="04741F5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AB4C4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C2FD73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多seed与一次性测试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D137C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E0/E1/V2至少3 seeds；方案冻结后一次性Pilot-Test；按类别/尺度/来源分层</w:t>
            </w:r>
          </w:p>
        </w:tc>
      </w:tr>
      <w:tr w14:paraId="235CE29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61E749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0004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成本/Pareto</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9CABD4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汇总人工、GD/SAM/YOLO GPU小时、重训、返工、周期；完成1k/10k/100k情景与Pareto</w:t>
            </w:r>
          </w:p>
        </w:tc>
      </w:tr>
      <w:tr w14:paraId="36E133B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0514BB0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A12</w:t>
            </w:r>
          </w:p>
        </w:tc>
        <w:tc>
          <w:tcPr>
            <w:tcW w:w="0" w:type="auto"/>
            <w:tcBorders>
              <w:top w:val="single" w:color="auto" w:sz="2" w:space="0"/>
              <w:left w:val="single" w:color="auto" w:sz="2" w:space="0"/>
              <w:bottom w:val="nil"/>
              <w:right w:val="single" w:color="auto" w:sz="2" w:space="0"/>
            </w:tcBorders>
            <w:shd w:val="clear"/>
            <w:vAlign w:val="center"/>
          </w:tcPr>
          <w:p w14:paraId="76A97F1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论文写作</w:t>
            </w:r>
          </w:p>
        </w:tc>
        <w:tc>
          <w:tcPr>
            <w:tcW w:w="0" w:type="auto"/>
            <w:tcBorders>
              <w:top w:val="single" w:color="auto" w:sz="2" w:space="0"/>
              <w:left w:val="single" w:color="auto" w:sz="2" w:space="0"/>
              <w:bottom w:val="nil"/>
              <w:right w:val="single" w:color="auto" w:sz="2" w:space="0"/>
            </w:tcBorders>
            <w:shd w:val="clear"/>
            <w:vAlign w:val="center"/>
          </w:tcPr>
          <w:p w14:paraId="6C9682D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技术章回答标签机制与效用；管理章回答标注生产成本、阶段门、规模资源配置、停止规则和追溯治理</w:t>
            </w:r>
          </w:p>
        </w:tc>
      </w:tr>
    </w:tbl>
    <w:p w14:paraId="7BDDB3F7">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AA9454D">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附录B 最小可追溯字段与实验记录模板</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586"/>
        <w:gridCol w:w="7805"/>
      </w:tblGrid>
      <w:tr w14:paraId="1337CA4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F34D8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字段组</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F80676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字段</w:t>
            </w:r>
          </w:p>
        </w:tc>
      </w:tr>
      <w:tr w14:paraId="7322934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7F725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7E1270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image_id、source_type、source_group_id、data_version、split_version、source_model</w:t>
            </w:r>
          </w:p>
        </w:tc>
      </w:tr>
      <w:tr w14:paraId="79FC4D5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426AD1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6F94C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model_checkpoint、语义提示_id、语义提示_text、score_threshold、raw_score、diagnosis_type</w:t>
            </w:r>
          </w:p>
        </w:tc>
      </w:tr>
      <w:tr w14:paraId="62E3242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79E97D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2C53D41">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sam_called、sam_mode、sam_conf、verification_state、rejection_reason、append_flag</w:t>
            </w:r>
          </w:p>
        </w:tc>
      </w:tr>
      <w:tr w14:paraId="49D73EF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0B6D1C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2EAA41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candidate_iof、dino_iof、max_iof、box_source、fusion_rule、label_version</w:t>
            </w:r>
          </w:p>
        </w:tc>
      </w:tr>
      <w:tr w14:paraId="3A197E8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34FBEC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4E223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pipeline_version、train_run_id、random_seed、test_report_id、gpu_minutes、human_review_minutes</w:t>
            </w:r>
          </w:p>
        </w:tc>
      </w:tr>
      <w:tr w14:paraId="7A10CB1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5347569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组6</w:t>
            </w:r>
          </w:p>
        </w:tc>
        <w:tc>
          <w:tcPr>
            <w:tcW w:w="0" w:type="auto"/>
            <w:tcBorders>
              <w:top w:val="single" w:color="auto" w:sz="2" w:space="0"/>
              <w:left w:val="single" w:color="auto" w:sz="2" w:space="0"/>
              <w:bottom w:val="nil"/>
              <w:right w:val="single" w:color="auto" w:sz="2" w:space="0"/>
            </w:tcBorders>
            <w:shd w:val="clear"/>
            <w:vAlign w:val="center"/>
          </w:tcPr>
          <w:p w14:paraId="5C44B21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gate_decision</w:t>
            </w:r>
          </w:p>
        </w:tc>
      </w:tr>
    </w:tbl>
    <w:p w14:paraId="6EA16F45">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建议每个实验run同时记录：开始/结束时间、硬件型号、代码commit/config hash、输入data_version、输出label_version、训练超参数、Validation结果、Pilot结果（仅历史可比）、Pilot-Test结果（仅冻结后）、Gate结论与操作者备注。</w:t>
      </w:r>
    </w:p>
    <w:p w14:paraId="331B6558">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rFonts w:hint="default" w:ascii="sans-serif" w:hAnsi="sans-serif" w:eastAsia="sans-serif" w:cs="sans-serif"/>
          <w:i w:val="0"/>
          <w:iCs w:val="0"/>
          <w:caps w:val="0"/>
          <w:color w:val="222222"/>
          <w:spacing w:val="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C171A04">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line="18" w:lineRule="atLeast"/>
        <w:ind w:left="0" w:right="0"/>
        <w:rPr>
          <w:b/>
          <w:bCs/>
        </w:rPr>
      </w:pPr>
      <w:r>
        <w:rPr>
          <w:b/>
          <w:bCs/>
          <w:i w:val="0"/>
          <w:iCs w:val="0"/>
          <w:caps w:val="0"/>
          <w:color w:val="222222"/>
          <w:spacing w:val="0"/>
          <w:bdr w:val="single" w:color="E3E3E3" w:sz="2" w:space="0"/>
          <w:shd w:val="clear" w:fill="FFFFFF"/>
        </w:rPr>
        <w:t>附录C 最新实验原始结果汇总</w:t>
      </w:r>
    </w:p>
    <w:p w14:paraId="093FFC58">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本附录用于确保开题报告中的阶段性结论可追溯到原始记录。正文采用多seed均值判断E2A方向，不以某个单次最优结果替代稳定性证据。</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35"/>
        <w:gridCol w:w="760"/>
        <w:gridCol w:w="760"/>
        <w:gridCol w:w="760"/>
        <w:gridCol w:w="1023"/>
      </w:tblGrid>
      <w:tr w14:paraId="5C1E8DD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B808B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记录</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D5DE9CB">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P</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3EB85E5">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R</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0A0447">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mAP50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5C44F4">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center"/>
              <w:rPr>
                <w:b/>
                <w:bCs/>
              </w:rPr>
            </w:pPr>
            <w:r>
              <w:rPr>
                <w:rFonts w:ascii="宋体" w:hAnsi="宋体" w:eastAsia="宋体" w:cs="宋体"/>
                <w:b/>
                <w:bCs/>
                <w:kern w:val="0"/>
                <w:sz w:val="24"/>
                <w:szCs w:val="24"/>
                <w:bdr w:val="single" w:color="E3E3E3" w:sz="2" w:space="0"/>
                <w:lang w:val="en-US" w:eastAsia="zh-CN" w:bidi="ar"/>
              </w:rPr>
              <w:t>mAP50:95</w:t>
            </w:r>
          </w:p>
        </w:tc>
      </w:tr>
      <w:tr w14:paraId="2D6FFCA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3F9AB56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Exp0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7DF5D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0.8205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64D14C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0.6717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C91C59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0.7430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18B5A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0.5377</w:t>
            </w:r>
          </w:p>
        </w:tc>
      </w:tr>
      <w:tr w14:paraId="6032264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A026A7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Exp1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D0C780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0.7635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B59642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0.6216</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ABE45C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0.6647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815346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0.4623</w:t>
            </w:r>
          </w:p>
        </w:tc>
      </w:tr>
      <w:tr w14:paraId="61E2A67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7F4A5A3">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1679DC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0.7410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4B0F3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0.6609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508A24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0.6689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8EC45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0.4577</w:t>
            </w:r>
          </w:p>
        </w:tc>
      </w:tr>
      <w:tr w14:paraId="7CBA37E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195F881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FD5CEE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0.7531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C7738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72DB0E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B74C0A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0.4529</w:t>
            </w:r>
          </w:p>
        </w:tc>
      </w:tr>
      <w:tr w14:paraId="732EA8E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EF36A40">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E2C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11BC7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0.6124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A77C4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0.6182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824CE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0.5769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13D381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0.3701</w:t>
            </w:r>
          </w:p>
        </w:tc>
      </w:tr>
      <w:tr w14:paraId="479FB0A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F8686AE">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 Pilot</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247433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8A4110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FA1DC9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0.6724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ECE437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0.4530</w:t>
            </w:r>
          </w:p>
        </w:tc>
      </w:tr>
      <w:tr w14:paraId="583DA07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DE6423D">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E2B-400+IoF0.7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A8043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0.7729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075A65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0.5878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82B4FD4">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0.6638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AE54629">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0.4525</w:t>
            </w:r>
          </w:p>
        </w:tc>
      </w:tr>
      <w:tr w14:paraId="7198E3F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2E1C792">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E2B-400+IoF0.3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744AEEF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0.7148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CD3400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0.6432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6BC07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0.6722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4AED12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0.4606</w:t>
            </w:r>
          </w:p>
        </w:tc>
      </w:tr>
      <w:tr w14:paraId="2C3E947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61FEECFF">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 seed0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9E7166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0.6944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0B1370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0.6114</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4745AB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0.6302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DF145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0.4255</w:t>
            </w:r>
          </w:p>
        </w:tc>
      </w:tr>
      <w:tr w14:paraId="5A19F6B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759A8A96">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seed0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63305C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0.7290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204552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0.6088</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3DB86F0">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0.6562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EBEF3A6">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0.4564</w:t>
            </w:r>
          </w:p>
        </w:tc>
      </w:tr>
      <w:tr w14:paraId="1D8D62B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0759C66A">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 seed1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E1F93F5">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0.7480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505F3D72">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0.5862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5FE60D8">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0.6492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1CB079F">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0.4421</w:t>
            </w:r>
          </w:p>
        </w:tc>
      </w:tr>
      <w:tr w14:paraId="7ABB4D9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5C840188">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seed1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B5C3DB">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0.6915</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0C034621">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0.6541</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7B57EF7">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0.6603</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29BFD09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0.4510</w:t>
            </w:r>
          </w:p>
        </w:tc>
      </w:tr>
      <w:tr w14:paraId="6C27CEC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E3E3E3" w:sz="2" w:space="0"/>
              <w:left w:val="single" w:color="E3E3E3" w:sz="2" w:space="0"/>
              <w:bottom w:val="single" w:color="E1E3EA" w:sz="2" w:space="0"/>
              <w:right w:val="single" w:color="E3E3E3" w:sz="2" w:space="0"/>
            </w:tcBorders>
            <w:shd w:val="clear"/>
            <w:vAlign w:val="center"/>
          </w:tcPr>
          <w:p w14:paraId="2FB0E8F9">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E1 seed2</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18581A3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0.6800</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637D319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0.6119</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3657BD0D">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0.6427</w:t>
            </w:r>
          </w:p>
        </w:tc>
        <w:tc>
          <w:tcPr>
            <w:tcW w:w="0" w:type="auto"/>
            <w:tcBorders>
              <w:top w:val="single" w:color="E3E3E3" w:sz="2" w:space="0"/>
              <w:left w:val="single" w:color="E3E3E3" w:sz="2" w:space="0"/>
              <w:bottom w:val="single" w:color="E1E3EA" w:sz="2" w:space="0"/>
              <w:right w:val="single" w:color="E3E3E3" w:sz="2" w:space="0"/>
            </w:tcBorders>
            <w:shd w:val="clear"/>
            <w:vAlign w:val="center"/>
          </w:tcPr>
          <w:p w14:paraId="4D3C017C">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0.4434</w:t>
            </w:r>
          </w:p>
        </w:tc>
      </w:tr>
      <w:tr w14:paraId="4D69227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nil"/>
              <w:right w:val="single" w:color="auto" w:sz="2" w:space="0"/>
            </w:tcBorders>
            <w:shd w:val="clear"/>
            <w:vAlign w:val="center"/>
          </w:tcPr>
          <w:p w14:paraId="18395B7C">
            <w:pPr>
              <w:keepNext w:val="0"/>
              <w:keepLines w:val="0"/>
              <w:widowControl/>
              <w:suppressLineNumbers w:val="0"/>
              <w:pBdr>
                <w:top w:val="single" w:color="E3E3E3" w:sz="2" w:space="0"/>
                <w:left w:val="single" w:color="E3E3E3" w:sz="2" w:space="0"/>
                <w:bottom w:val="single" w:color="E3E3E3" w:sz="2" w:space="0"/>
                <w:right w:val="single" w:color="E3E3E3" w:sz="2" w:space="0"/>
              </w:pBdr>
              <w:bidi w:val="0"/>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E2A seed2</w:t>
            </w:r>
          </w:p>
        </w:tc>
        <w:tc>
          <w:tcPr>
            <w:tcW w:w="0" w:type="auto"/>
            <w:tcBorders>
              <w:top w:val="single" w:color="auto" w:sz="2" w:space="0"/>
              <w:left w:val="single" w:color="auto" w:sz="2" w:space="0"/>
              <w:bottom w:val="nil"/>
              <w:right w:val="single" w:color="auto" w:sz="2" w:space="0"/>
            </w:tcBorders>
            <w:shd w:val="clear"/>
            <w:vAlign w:val="center"/>
          </w:tcPr>
          <w:p w14:paraId="370D1AC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0.7178</w:t>
            </w:r>
          </w:p>
        </w:tc>
        <w:tc>
          <w:tcPr>
            <w:tcW w:w="0" w:type="auto"/>
            <w:tcBorders>
              <w:top w:val="single" w:color="auto" w:sz="2" w:space="0"/>
              <w:left w:val="single" w:color="auto" w:sz="2" w:space="0"/>
              <w:bottom w:val="nil"/>
              <w:right w:val="single" w:color="auto" w:sz="2" w:space="0"/>
            </w:tcBorders>
            <w:shd w:val="clear"/>
            <w:vAlign w:val="center"/>
          </w:tcPr>
          <w:p w14:paraId="13153F53">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0.6347</w:t>
            </w:r>
          </w:p>
        </w:tc>
        <w:tc>
          <w:tcPr>
            <w:tcW w:w="0" w:type="auto"/>
            <w:tcBorders>
              <w:top w:val="single" w:color="auto" w:sz="2" w:space="0"/>
              <w:left w:val="single" w:color="auto" w:sz="2" w:space="0"/>
              <w:bottom w:val="nil"/>
              <w:right w:val="single" w:color="auto" w:sz="2" w:space="0"/>
            </w:tcBorders>
            <w:shd w:val="clear"/>
            <w:vAlign w:val="center"/>
          </w:tcPr>
          <w:p w14:paraId="51AF1F4A">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0.6751</w:t>
            </w:r>
          </w:p>
        </w:tc>
        <w:tc>
          <w:tcPr>
            <w:tcW w:w="0" w:type="auto"/>
            <w:tcBorders>
              <w:top w:val="single" w:color="auto" w:sz="2" w:space="0"/>
              <w:left w:val="single" w:color="auto" w:sz="2" w:space="0"/>
              <w:bottom w:val="nil"/>
              <w:right w:val="single" w:color="auto" w:sz="2" w:space="0"/>
            </w:tcBorders>
            <w:shd w:val="clear"/>
            <w:vAlign w:val="center"/>
          </w:tcPr>
          <w:p w14:paraId="1268D0CE">
            <w:pPr>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jc w:val="left"/>
            </w:pPr>
            <w:r>
              <w:rPr>
                <w:rFonts w:ascii="宋体" w:hAnsi="宋体" w:eastAsia="宋体" w:cs="宋体"/>
                <w:kern w:val="0"/>
                <w:sz w:val="24"/>
                <w:szCs w:val="24"/>
                <w:bdr w:val="single" w:color="E3E3E3" w:sz="2" w:space="0"/>
                <w:lang w:val="en-US" w:eastAsia="zh-CN" w:bidi="ar"/>
              </w:rPr>
              <w:t>0.4638</w:t>
            </w:r>
          </w:p>
        </w:tc>
      </w:tr>
    </w:tbl>
    <w:p w14:paraId="2EA6B9A1">
      <w:pPr>
        <w:keepNext w:val="0"/>
        <w:keepLines w:val="0"/>
        <w:widowControl/>
        <w:suppressLineNumbers w:val="0"/>
        <w:pBdr>
          <w:top w:val="none" w:color="auto" w:sz="0" w:space="0"/>
          <w:left w:val="none" w:color="auto" w:sz="0" w:space="0"/>
          <w:bottom w:val="none" w:color="auto" w:sz="0" w:space="0"/>
          <w:right w:val="none" w:color="auto" w:sz="0" w:space="0"/>
        </w:pBdr>
        <w:shd w:val="clear" w:fill="E1E3EA"/>
        <w:spacing w:before="0" w:beforeAutospacing="0" w:after="0" w:afterAutospacing="0" w:line="18" w:lineRule="atLeast"/>
        <w:ind w:left="0" w:right="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5BC87D4">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bidi w:val="0"/>
        <w:spacing w:before="0" w:beforeAutospacing="0" w:after="0" w:afterAutospacing="0" w:line="18" w:lineRule="atLeast"/>
        <w:ind w:left="0" w:right="0" w:firstLine="0"/>
        <w:jc w:val="left"/>
        <w:rPr>
          <w:rFonts w:hint="default" w:ascii="sans-serif" w:hAnsi="sans-serif" w:eastAsia="sans-serif" w:cs="sans-serif"/>
          <w:i w:val="0"/>
          <w:iCs w:val="0"/>
          <w:caps w:val="0"/>
          <w:color w:val="222222"/>
          <w:spacing w:val="0"/>
          <w:sz w:val="16"/>
          <w:szCs w:val="16"/>
        </w:rPr>
      </w:pPr>
      <w:r>
        <w:rPr>
          <w:rFonts w:hint="default" w:ascii="sans-serif" w:hAnsi="sans-serif" w:eastAsia="sans-serif" w:cs="sans-serif"/>
          <w:i w:val="0"/>
          <w:iCs w:val="0"/>
          <w:caps w:val="0"/>
          <w:color w:val="222222"/>
          <w:spacing w:val="0"/>
          <w:kern w:val="0"/>
          <w:sz w:val="16"/>
          <w:szCs w:val="16"/>
          <w:bdr w:val="single" w:color="E3E3E3" w:sz="2" w:space="0"/>
          <w:shd w:val="clear" w:fill="FFFFFF"/>
          <w:lang w:val="en-US" w:eastAsia="zh-CN" w:bidi="ar"/>
        </w:rPr>
        <w:t>第 1 页</w:t>
      </w:r>
    </w:p>
    <w:p w14:paraId="452D32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6D15E"/>
    <w:multiLevelType w:val="multilevel"/>
    <w:tmpl w:val="88F6D1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071072"/>
    <w:multiLevelType w:val="multilevel"/>
    <w:tmpl w:val="93071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43FA80"/>
    <w:multiLevelType w:val="multilevel"/>
    <w:tmpl w:val="A343FA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086A4E3"/>
    <w:multiLevelType w:val="multilevel"/>
    <w:tmpl w:val="2086A4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80801C4"/>
    <w:multiLevelType w:val="multilevel"/>
    <w:tmpl w:val="380801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E1F7F3A"/>
    <w:multiLevelType w:val="multilevel"/>
    <w:tmpl w:val="4E1F7F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32BA8DB"/>
    <w:multiLevelType w:val="multilevel"/>
    <w:tmpl w:val="632BA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98EF98"/>
    <w:multiLevelType w:val="multilevel"/>
    <w:tmpl w:val="6D98EF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4"/>
  </w:num>
  <w:num w:numId="3">
    <w:abstractNumId w:val="2"/>
  </w:num>
  <w:num w:numId="4">
    <w:abstractNumId w:val="1"/>
  </w:num>
  <w:num w:numId="5">
    <w:abstractNumId w:val="6"/>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57F5B"/>
    <w:rsid w:val="6375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2026-09-02T16:07:00Z</dcterms:created>
  <dc:creator>柏林无少女</dc:creator>
  <cp:lastModifiedBy>柏林无少女</cp:lastModifiedBy>
  <dcterms:modified xsi:type="dcterms:W3CDTF">2026-09-02T16:14:27Z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E903A270DB3841588808E6E882A3462B_11</vt:lpwstr>
  </property>
  <property fmtid="{D5CDD505-2E9C-101B-9397-08002B2CF9AE}" pid="4" name="KSOTemplateDocerSaveRecord">
    <vt:lpwstr>eyJoZGlkIjoiZmY2YmM0Yzk2MWFhYTA0Y2RmYzg3YjJhYzJkYTc0NDIiLCJ1c2VySWQiOiI0OTMxOTYyOTUifQ==</vt:lpwstr>
  </property>
</Properties>
</file>