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Anonymous manuscript for review</w:t>
      </w:r>
    </w:p>
    <w:p>
      <w:pPr>
        <w:spacing w:after="680"/>
        <w:jc w:val="center"/>
      </w:pPr>
      <w:r>
        <w:rPr>
          <w:rFonts w:ascii="Calibri" w:hAnsi="Calibri"/>
          <w:i/>
          <w:color w:val="66717C"/>
          <w:sz w:val="21"/>
        </w:rPr>
        <w:t>Target journal: Empirical Software Engineering</w:t>
      </w:r>
    </w:p>
    <w:p>
      <w:r>
        <w:br w:type="page"/>
      </w:r>
    </w:p>
    <w:p>
      <w:pPr>
        <w:pStyle w:val="Heading1"/>
      </w:pPr>
      <w:r>
        <w:t>Abstract</w:t>
      </w:r>
    </w:p>
    <w:p>
      <w:pPr/>
      <w:r>
        <w:t xml:space="preserve">Coding-agent leaderboards make smaller task sets attractive, but a subset is useful only if it preserves the ranking of later systems. We test this time-forward requirement on the 500 SWE-bench Verified tasks in two separate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w:t>
      </w:r>
      <w:r>
        <w:t>τ</w:t>
      </w:r>
      <w:r>
        <w:rPr>
          <w:vertAlign w:val="subscript"/>
        </w:rPr>
        <w:t>b</w:t>
      </w:r>
      <w:r>
        <w:t>, a tie-aware top-k Jaccard diagnostic, and all-system and latest-per-related-cluster scopes. A harmonized curve bootstrap resamples held-out system clusters for every method and additionally redraws tasks for stochastic procedures. Later cohorts had higher mean solve rates; entropy declined clearly only in the standardized panel. Under the protocol-defined pointwise policy, the common reliable procedure budgets were 500, 500, 500, and 475 tasks, respectively. A reviewer-motivated, post hoc joint max-t analysis returned the same budgets; an unstandardized raw-deviation band instead forced all four to 500. Entropy was also non-monotone, passing at 150–300 tasks but failing at 400–475 in one scope. Task identities varied across scope-trained selectors, so a common budget does not denote one fixed public subset. Thus, no procedure supported more than a 5% reduction under the primary policy, and even that saving was not a fixed deployable set. Maintainers should validate selection procedures on later systems, model related submissions, and report curve-wise selection uncertainty rather than assume fidelity increases with budget.</w:t>
      </w:r>
    </w:p>
    <w:p>
      <w:pPr>
        <w:jc w:val="left"/>
      </w:pPr>
      <w:r>
        <w:rPr>
          <w:b/>
        </w:rPr>
        <w:t>Keywords:</w:t>
      </w:r>
      <w:r>
        <w:t xml:space="preserve"> coding agents; benchmark reduction; leaderboard reliability; SWE-bench Verified; temporal validation; ranking uncertainty</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(Yoo and Harman 2012). For a leaderboard, however, the relevant property is not merely task coverage or fault detection. A reduced set must preserve comparative conclusions among systems. A subset that reproduces the current ranking can still fail when stronger or differently structured systems arrive. It can also appear reliable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benchmarks, tools, and experimental subjects evolve (Golmohammadi et al. 2026), and because out-of-sample validation and transparent reporting remain uneven in empirical software engineering (Destefanis et al. 2026).</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t>We make four contributions.</w:t>
      </w:r>
    </w:p>
    <w:p>
      <w:pPr>
        <w:spacing w:after="100"/>
        <w:ind w:left="403" w:hanging="288"/>
      </w:pPr>
      <w:r>
        <w:t xml:space="preserve">1. </w:t>
      </w:r>
      <w:r>
        <w:t>We instantiate ranking-preserving benchmark reduction for coding agents as a time-forward evaluation, complementing general benchmark-compression work rather than claiming the first study of subset selection.</w:t>
      </w:r>
    </w:p>
    <w:p>
      <w:pPr>
        <w:spacing w:after="10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100"/>
        <w:ind w:left="403" w:hanging="288"/>
      </w:pPr>
      <w:r>
        <w:t xml:space="preserve">3. </w:t>
      </w:r>
      <w:r>
        <w:t>We evaluate four selection procedures over 13 budgets with task- and system-side uncertainty, curve-wise resampling, tie-aware diagnostics, threshold sensitivity, and a mandatory 500-task positive control.</w:t>
      </w:r>
    </w:p>
    <w:p>
      <w:pPr>
        <w:spacing w:after="100"/>
        <w:ind w:left="403" w:hanging="288"/>
      </w:pPr>
      <w:r>
        <w:t xml:space="preserve">4. </w:t>
      </w:r>
      <w:r>
        <w:t>We report a limitation finding and disclose its analysis history: a 475-task procedure-level result under the protocol-defined pointwise rule is tested with a reviewer-motivated, post hoc simultaneous analysis rather than described as a confirmatory result.</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w:t>
      </w:r>
    </w:p>
    <w:p>
      <w:pPr>
        <w:pStyle w:val="Heading1"/>
      </w:pPr>
      <w:r>
        <w:t>2 Background and Related Work</w:t>
      </w:r>
    </w:p>
    <w:p>
      <w:pPr>
        <w:pStyle w:val="Heading2"/>
      </w:pPr>
      <w:r>
        <w:t>2.1 Coding-agent benchmarks and SWE-bench Verified</w:t>
      </w:r>
    </w:p>
    <w:p>
      <w:pPr/>
      <w: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 public ecosystem subsequently became a central comparison point for coding agents.</w:t>
      </w:r>
    </w:p>
    <w:p>
      <w:pPr/>
      <w:r>
        <w:t>That ecosystem is heterogeneous. Martinez and Franch (2026) characterize the participants, products, model choices, and openness of SWE-bench leaderboard entries, showing that leaderboard rows are not interchangeable independent samples. Our panel design responds by separating the open-submission and standardized Bash-only formats and by adding related-system sensitivity rather than pooling every row into one analysis.</w:t>
      </w:r>
    </w:p>
    <w:p>
      <w:pPr/>
      <w:r>
        <w:t>The current status of SWE-bench Verified also limits how results should be read. OpenAI's 2026 audit reports residual test-design problems and evidence of contamination among frontier models (OpenAI 2026). Consequently, we do not claim that a preserved historical SWE-bench Verified ranking measures current real-world software engineering capability. The benchmark is the bounded empirical case through which we study a general maintenance problem.</w:t>
      </w:r>
    </w:p>
    <w:p>
      <w:pPr>
        <w:pStyle w:val="Heading2"/>
      </w:pPr>
      <w:r>
        <w:t>2.2 Task validity and ranking correction</w:t>
      </w:r>
    </w:p>
    <w:p>
      <w:pPr/>
      <w:r>
        <w:t>Benchmark ranking can change when task outcomes are corrected. SWE-Bench+ reports solution leakage, weak tests, and contamination risks (Aleithan et al. 2024). UTBoost augments tests and identifies patches that had been incorrectly accepted; those corrections change several SWE-bench leaderboard positions (Yu et al. 2025). These studies address the validity of individual task judgments and are therefore complementary to our work.</w:t>
      </w:r>
    </w:p>
    <w:p>
      <w:pPr/>
      <w:r>
        <w:t>Our input is a frozen binary system-by-task outcome matrix after source-level quality checks. Given that matrix, we ask whether columns selected from an earlier system cohort preserve the full-column ranking of a later cohort. Perfect subset fidelity would not prove that any underlying task is valid. Conversely, a corrected task suite could still be too small to preserve later rankings. Task correctness and subset fidelity are separate layers of measurement validity.</w:t>
      </w:r>
    </w:p>
    <w:p>
      <w:pPr>
        <w:pStyle w:val="Heading2"/>
      </w:pPr>
      <w:r>
        <w:t>2.3 Benchmark and tool evolution</w:t>
      </w:r>
    </w:p>
    <w:p>
      <w:pPr/>
      <w:r>
        <w:t>Empirical results can age as tools, configurations, and benchmark populations change. Golmohammadi et al. (2026) show that parameter-tuning conclusions in search-based software engineering can require periodic re-evaluation as a tool evolves. The same logic applies to task selection: a subset optimized on an earlier cohort may no longer distinguish later systems.</w:t>
      </w:r>
    </w:p>
    <w:p>
      <w:pPr/>
      <w:r>
        <w:t>The methodological literature also cautions against weak out-of-sample validation and opaque analysis choices. Destefanis et al. (2026) audit machine- learning experiments in software defect prediction and emphasize design, analysis, reporting, and reproducibility. Baltes and Ralph (2022) show that sampling and representativeness are frequently misunderstood in software engineering research. Our response is a frozen time-forward design, explicit source provenance, repeated sampling, clustered sensitivity, and a decision rule fixed independently of the observed winning budget.</w:t>
      </w:r>
    </w:p>
    <w:p>
      <w:pPr>
        <w:pStyle w:val="Heading2"/>
      </w:pPr>
      <w:r>
        <w:t>2.4 Test-suite reduction and ranking preservation</w:t>
      </w:r>
    </w:p>
    <w:p>
      <w:pPr/>
      <w:r>
        <w:t>Regression-testing research distinguishes minimization, selection, and prioritization (Yoo and Harman 2012). Those techniques usually aim to retain fault-detection or change-relevance properties while reducing execution. Coding-agent leaderboard reduction has a different target: preserving comparative system ordering and associated top-k decisions. A task can be redundant for one cohort and discriminative for another.</w:t>
      </w:r>
    </w:p>
    <w:p>
      <w:pPr/>
      <w:r>
        <w:t xml:space="preserve">Rank preservation also requires a statistic that handles ties because many systems receive identical aggregate scores. We therefore use Kendall’s </w:t>
      </w:r>
      <w:r>
        <w:t>τ</w:t>
      </w:r>
      <w:r>
        <w:rPr>
          <w:vertAlign w:val="subscript"/>
        </w:rPr>
        <w:t>b</w:t>
      </w:r>
      <w:r>
        <w:t xml:space="preserve">, which corrects for ties in ranking problems (Kendall 1945). Tau-b is supplemented by top-k overlap, pairwise direction agreement, calibrated score error, and repository coverage. The decision is intentionally conservative: both a central </w:t>
      </w:r>
      <w:r>
        <w:t>τ</w:t>
      </w:r>
      <w:r>
        <w:rPr>
          <w:vertAlign w:val="subscript"/>
        </w:rPr>
        <w:t>b</w:t>
      </w:r>
      <w:r>
        <w:t xml:space="preserve"> value and a lower uncertainty bound must pass.</w:t>
      </w:r>
    </w:p>
    <w:p>
      <w:pPr/>
      <w:r>
        <w:t>Recent benchmark-compression studies target ranking preservation directly. Gusev and Zaytsev (2026) compare dataset-selection strategies using bootstrap aggregation and show that gains over random selection depend on the benchmark regime and task representations. EssenceBench combines redundancy analysis, score reconstruction, and subset search for large language model evaluations and reports substantial compression on several natural-language benchmarks (Wang et al. 2025). These studies establish that preserving rankings is a distinct optimization target. Our contribution is narrower: coding-agent task outcomes, time-forward held-out systems, related-system dependence, and an explicit full-budget control. We do not claim a generally superior selector.</w:t>
      </w:r>
    </w:p>
    <w:p>
      <w:pPr/>
      <w:r>
        <w:t>Software benchmarking research supplies two further precedents. Laaber et al. (2021) show that prioritization effectiveness and overhead vary across microbenchmark suites and parameterizations. Kaltenecker et al. (2023) find that relative performance rankings across configurable-system releases are often stable but have consequential exceptions. Together, these results motivate testing both efficiency techniques and rank transfer across software evolution rather than assuming that a subset or ordering remains valid.</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 resulting selection procedures reproduce the full 500-task ranking of later systems across budgets, panels, and dependence scopes?</w:t>
      </w:r>
    </w:p>
    <w:p>
      <w:pPr/>
      <w:r>
        <w:rPr>
          <w:b/>
        </w:rPr>
        <w:t>RQ3 - Reliable procedure budgets.</w:t>
      </w:r>
      <w:r>
        <w:t xml:space="preserve"> What is the smallest single task count at which each selection procedure meets the protocol-defined reliability policy in both temporal panels and both dependence scopes? The estimand is a procedure budget; task identities may differ across cells.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 xml:space="preserve">The unit of observation is one public submission-task outcome. Canonical task identifiers come from the official SWE-bench Verified dataset. Outcome matrices come from the official </w:t>
      </w:r>
      <w:r>
        <w:rPr>
          <w:rFonts w:ascii="Consolas" w:hAnsi="Consolas"/>
          <w:color w:val="1F4D78"/>
          <w:sz w:val="19"/>
        </w:rPr>
        <w:t>swe-bench/experiments</w:t>
      </w:r>
      <w:r>
        <w:t xml:space="preserve"> repository, while public scores and submission metadata come from the official SWE-bench website repository. All sources are pinned rather than read from moving branch heads.</w:t>
      </w:r>
    </w:p>
    <w:p>
      <w:pPr/>
      <w:r>
        <w:t xml:space="preserve">The final run uses experiments commit </w:t>
      </w:r>
      <w:r>
        <w:rPr>
          <w:rFonts w:ascii="Consolas" w:hAnsi="Consolas"/>
          <w:color w:val="1F4D78"/>
          <w:sz w:val="19"/>
        </w:rPr>
        <w:t>1faa91cade0562ba62b66c1c99e71f7b72d96f13</w:t>
      </w:r>
      <w:r>
        <w:t xml:space="preserve"> and website commit </w:t>
      </w:r>
      <w:r>
        <w:rPr>
          <w:rFonts w:ascii="Consolas" w:hAnsi="Consolas"/>
          <w:color w:val="1F4D78"/>
          <w:sz w:val="19"/>
        </w:rPr>
        <w:t>f42505b21a0eb31a9cc1204caafcbe0da6c1a259</w:t>
      </w:r>
      <w:r>
        <w:t xml:space="preserve">. The classic and Bash-only outcome matrices have SHA-256 digests </w:t>
      </w:r>
      <w:r>
        <w:rPr>
          <w:rFonts w:ascii="Consolas" w:hAnsi="Consolas"/>
          <w:color w:val="1F4D78"/>
          <w:sz w:val="19"/>
        </w:rPr>
        <w:t>e477915c5dd68a132995f692da67b0105743f34bd868f636d3b5fec43c1b11e0</w:t>
      </w:r>
      <w:r>
        <w:t xml:space="preserve"> and </w:t>
      </w:r>
      <w:r>
        <w:rPr>
          <w:rFonts w:ascii="Consolas" w:hAnsi="Consolas"/>
          <w:color w:val="1F4D78"/>
          <w:sz w:val="19"/>
        </w:rPr>
        <w:t>0f5fda63360d75604589e4916057ffc294dd3b4ef6d9cca9552adf651806357d</w:t>
      </w:r>
      <w:r>
        <w:t>, respectively. The reproduction package records every requested URL, exclusion, source commit, and generated file.</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exceeded the protocol-defined 0.15 percentage-point reconciliation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All protocol-defined data-quality checks succeeded.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heterogeneous panel provides time-external validation rather than a same-environment replication. The top-k diagnostic uses k=5.</w:t>
      </w:r>
    </w:p>
    <w:p>
      <w:pPr/>
      <w: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 xml:space="preserve">The primary outcome is Kendall’s </w:t>
      </w:r>
      <w:r>
        <w:t>τ</w:t>
      </w:r>
      <w:r>
        <w:rPr>
          <w:vertAlign w:val="subscript"/>
        </w:rPr>
        <w:t>b</w:t>
      </w:r>
      <w:r>
        <w:t xml:space="preserve">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t xml:space="preserve">Entropy and temporal core-set selection are deterministic for a fixed earlier cohort. For these methods, we bootstrap later systems by their related-system cluster 1,000 times and recompute </w:t>
      </w:r>
      <w:r>
        <w:t>τ</w:t>
      </w:r>
      <w:r>
        <w:rPr>
          <w:vertAlign w:val="subscript"/>
        </w:rPr>
        <w:t>b</w:t>
      </w:r>
      <w:r>
        <w:t>. This preserves within-cluster dependence during resampling. RQ1 changes in solve rate and entropy use 2,000 repository-cluster bootstrap repetitions over tasks, where the repository is the resampling cluster.</w:t>
      </w:r>
    </w:p>
    <w:p>
      <w:pPr/>
      <w:r>
        <w:t>Because those intervals are not directly comparable, a reviewer-motivated, post hoc sensitivity uses a harmonized curve bootstrap. Five independent seeds contribute 2,000 replicates each (10,000 pooled replicates). Within a panel and replicate, held-out system clusters are drawn once and reused for both scopes, preserving their dependence; the two panels are sampled independently and paired by replicate index. Each stochastic procedure draws one random task ordering per panel-replicate and evaluates nested prefixes at all 13 budgets. Deterministic procedures retain the task set selected from the earlier cohort within each scope.</w:t>
      </w:r>
    </w:p>
    <w:p>
      <w:pPr/>
      <w:r>
        <w:t>We report four lower-bound definitions. The first is the empirical pointwise 2.5th percentile. The second retains the v2 raw-deviation sensitivity: within each cell, one additive correction is the 2.5th percentile of the replicate minimum deviation across budgets. Because low-budget, high-variance points can dominate that correction, it is interpreted only as an intentionally conservative diagnostic. The third standardizes deviations by the budget-specific bootstrap standard deviation and takes a cell-wise max-t critical value. The fourth takes the maximum standardized shortfall across the complete four-cell-by-13-budget family for each procedure, producing the decision-family joint max-t lower band. Zero-variance endpoints, notably the exact 500-task positive control, remain at their point estimate. At 500 tasks, the reduced and full score vectors are identical, so fidelity is set to 1 by construction even when a degenerate cluster resample contains no comparable system pair. We report the budget driving each correction, per-seed ranges, and Wilson intervals for budget-selection probabilities. An additional 2,000-replicate sensitivity redraws random task sets independently at each budget to compare the v2 coupling with the nested-prefix estimand. The implementation follows standard bootstrap guidance on empirical intervals, dependent data, and Monte Carlo calculation (Efron and Tibshirani 1985; Davison and Hinkley 1997), but the four-cell max-t construction is a custom application whose coverage is assessed empirically rather than assumed.</w:t>
      </w:r>
    </w:p>
    <w:p>
      <w:pPr/>
      <w:r>
        <w:t>Formally, let τ̂(c,m,b) be the observed tau-b for cell c, method m, and budget b; let τʳ(c,m,b) be replicate r; and let s(c,m,b) be the across-replicate standard deviation. The raw cell-wise correction is the 2.5th percentile of the minimum, over budgets b, of [τʳ(c,m,b) − τ̂(c,m,b)]. For the standardized joint band, each replicate takes M(r,m) as the maximum, over cells c and budgets b, of [{the replicate mean of τʳ(c,m,b)} − τʳ(c,m,b)] / s(c,m,b), excluding zero-variance points. If q(m) is the 97.5th percentile of M(r,m), the joint lower band is L(c,m,b) = τ̂(c,m,b) − q(m)s(c,m,b). The cell-wise max-t band uses the same expression with the maximum and critical value calculated separately within each cell.</w:t>
      </w:r>
    </w:p>
    <w:p>
      <w:pPr/>
      <w: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t>4.7 Reliability policies and exact procedure budgets</w:t>
      </w:r>
    </w:p>
    <w:p>
      <w:pPr/>
      <w:r>
        <w:t xml:space="preserve">Under the protocol-defined pointwise policy, either random procedure passes when mean held-out </w:t>
      </w:r>
      <w:r>
        <w:t>τ</w:t>
      </w:r>
      <w:r>
        <w:rPr>
          <w:vertAlign w:val="subscript"/>
        </w:rPr>
        <w:t>b</w:t>
      </w:r>
      <w:r>
        <w:t xml:space="preserve"> is at least 0.90 and its task-sampling 2.5th percentile is at least 0.85. A deterministic procedure passes when </w:t>
      </w:r>
      <w:r>
        <w:t>τ</w:t>
      </w:r>
      <w:r>
        <w:rPr>
          <w:vertAlign w:val="subscript"/>
        </w:rPr>
        <w:t>b</w:t>
      </w:r>
      <w:r>
        <w:t xml:space="preserve">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pointwise, raw cell-wise, cell-wise max-t, or decision-family joint max-t curve-bootstrap bounds.</w:t>
      </w:r>
    </w:p>
    <w:p>
      <w:pPr/>
      <w:r>
        <w:t>The thresholds are governance choices, not natural constants. In the tie-free case, Kendall's tau equals one minus twice the discordant-pair fraction, so tau values of 0.90 and 0.80 correspond to approximately 5% and 10% discordant pairs. Tau-b adjusts this relation for ties, but the comparison still gives an operational interpretation: the primary rule targets a public leaderboard with few pairwise reversals, whereas the lenient rule is more appropriate for internal screening.</w:t>
      </w:r>
    </w:p>
    <w:p>
      <w:pPr/>
      <w:r>
        <w:t xml:space="preserve">The reported </w:t>
      </w:r>
      <w:r>
        <w:rPr>
          <w:b/>
        </w:rPr>
        <w:t>common reliable procedure budget</w:t>
      </w:r>
      <w: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t xml:space="preserve">Two sensitivity policies are also fixed. The lenient policy uses mean </w:t>
      </w:r>
      <w:r>
        <w:t>τ</w:t>
      </w:r>
      <w:r>
        <w:rPr>
          <w:vertAlign w:val="subscript"/>
        </w:rPr>
        <w:t>b</w:t>
      </w:r>
      <w:r>
        <w:t xml:space="preserve"> 0.85, stochastic lower bound 0.80, and deterministic lower bound 0.75. The strict policy uses 0.95, 0.90, and 0.85. These policies assess threshold dependence; they are not selected to obtain a favorable budget.</w:t>
      </w:r>
    </w:p>
    <w:p>
      <w:pPr>
        <w:pStyle w:val="Heading2"/>
      </w:pPr>
      <w:r>
        <w:t>4.8 Analysis history</w:t>
      </w:r>
    </w:p>
    <w:p>
      <w:pPr/>
      <w:r>
        <w:t>This study had no external registration. A pilot inspected the 2025 open-submission outcomes. The formal protocol and thresholds were committed on 24 August 2026 before the final two-panel rerun. On 26 August, inspection of the formal output revealed that the original aggregation code incorrectly assumed monotone pass/fail paths; the common-budget rule was corrected to test each exact budget across all required cells. The harmonized bootstrap, raw-deviation band, standardized max-t bands, and coupling sensitivity were added after review and are explicitly post hoc robustness analyses. This chronology separates the protocol-defined thresholds from later corrections and reviewer-motivated analyses.</w:t>
      </w:r>
    </w:p>
    <w:p>
      <w:pPr>
        <w:pStyle w:val="Heading1"/>
      </w:pPr>
      <w:r>
        <w:t>5 Results</w:t>
      </w:r>
    </w:p>
    <w:p>
      <w:pPr>
        <w:pStyle w:val="Heading2"/>
      </w:pPr>
      <w:r>
        <w:t>5.1 RQ1: Later cohorts had higher mean solve rates, but entropy changed differently</w:t>
      </w:r>
    </w:p>
    <w:p>
      <w:pPr/>
      <w: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t xml:space="preserve">In the standardized Bash-only panel, mean solve rate increased by 0.158 (0.125 to 0.175), while entropy decreased by 0.292 (-0.332 to -0.203). The later standardized systems solved more tasks on average, but a larger share of tasks became weakly discriminative or nearly saturated. The </w:t>
      </w:r>
      <w:r>
        <w:t>τ</w:t>
      </w:r>
      <w:r>
        <w:rPr>
          <w:vertAlign w:val="subscript"/>
        </w:rPr>
        <w:t>b</w:t>
      </w:r>
      <w:r>
        <w:t xml:space="preserve">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 xml:space="preserve">Task-difficulty </w:t>
            </w:r>
            <w:r>
              <w:rPr>
                <w:rFonts w:ascii="Calibri" w:hAnsi="Calibri"/>
                <w:b/>
                <w:color w:val="20262E"/>
                <w:sz w:val="17"/>
              </w:rPr>
              <w:t>τ</w:t>
            </w:r>
            <w:r>
              <w:rPr>
                <w:rFonts w:ascii="Calibri" w:hAnsi="Calibri"/>
                <w:b/>
                <w:color w:val="20262E"/>
                <w:sz w:val="17"/>
                <w:vertAlign w:val="subscript"/>
              </w:rPr>
              <w:t>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028087"/>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retained </w:t>
      </w:r>
      <w:r>
        <w:t>τ</w:t>
      </w:r>
      <w:r>
        <w:rPr>
          <w:vertAlign w:val="subscript"/>
        </w:rPr>
        <w:t>b</w:t>
      </w:r>
      <w:r>
        <w:t>=0.791 in the open panel and 0.713 in the standardized panel. The incomplete stability makes earlier-period task selection a non-trivial transfer problem.</w:t>
      </w:r>
    </w:p>
    <w:p>
      <w:pPr>
        <w:pStyle w:val="Heading2"/>
      </w:pPr>
      <w:r>
        <w:t>5.2 RQ2: In-panel fidelity does not imply later-cohort reliability</w:t>
      </w:r>
    </w:p>
    <w:p>
      <w:pPr/>
      <w: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r>
        <w:t xml:space="preserve">Dependence sensitivity changes the curves further. In the standardized panel, repository-stratified random sampling passes at 450 tasks with all systems (mean </w:t>
      </w:r>
      <w:r>
        <w:t>τ</w:t>
      </w:r>
      <w:r>
        <w:rPr>
          <w:vertAlign w:val="subscript"/>
        </w:rPr>
        <w:t>b</w:t>
      </w:r>
      <w:r>
        <w:t xml:space="preserve">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pStyle w:val="Caption"/>
      </w:pPr>
      <w:r>
        <w:rPr>
          <w:b/>
        </w:rPr>
        <w:t>Fig. 2a Held-out Kendall’s τ_b by task budget and scope in the open-submission panel.</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5806440" cy="6881707"/>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3"/>
                    <a:stretch>
                      <a:fillRect/>
                    </a:stretch>
                  </pic:blipFill>
                  <pic:spPr>
                    <a:xfrm>
                      <a:off x="0" y="0"/>
                      <a:ext cx="5806440" cy="6881707"/>
                    </a:xfrm>
                    <a:prstGeom prst="rect"/>
                  </pic:spPr>
                </pic:pic>
              </a:graphicData>
            </a:graphic>
          </wp:inline>
        </w:drawing>
      </w:r>
    </w:p>
    <w:p>
      <w:pPr>
        <w:pStyle w:val="Caption"/>
      </w:pPr>
      <w:r>
        <w:rPr>
          <w:b/>
        </w:rPr>
        <w:t>Fig. 2b Held-out Kendall’s τ_b by task budget and scope in the standardized Bash-only panel.</w:t>
      </w:r>
    </w:p>
    <w:p>
      <w:pPr>
        <w:spacing w:before="40" w:after="160"/>
        <w:jc w:val="center"/>
      </w:pPr>
      <w:r>
        <w:drawing>
          <wp:inline xmlns:a="http://schemas.openxmlformats.org/drawingml/2006/main" xmlns:pic="http://schemas.openxmlformats.org/drawingml/2006/picture">
            <wp:extent cx="5806440" cy="6881707"/>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4"/>
                    <a:stretch>
                      <a:fillRect/>
                    </a:stretch>
                  </pic:blipFill>
                  <pic:spPr>
                    <a:xfrm>
                      <a:off x="0" y="0"/>
                      <a:ext cx="5806440" cy="6881707"/>
                    </a:xfrm>
                    <a:prstGeom prst="rect"/>
                  </pic:spPr>
                </pic:pic>
              </a:graphicData>
            </a:graphic>
          </wp:inline>
        </w:drawing>
      </w:r>
    </w:p>
    <w:p>
      <w:pPr>
        <w:pStyle w:val="Caption"/>
        <w:pageBreakBefore/>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validation panel.</w:t>
      </w:r>
    </w:p>
    <w:p>
      <w:pPr>
        <w:pStyle w:val="Heading2"/>
      </w:pPr>
      <w:r>
        <w:t>5.3 RQ3 under the protocol-defined pointwise policy</w:t>
      </w:r>
    </w:p>
    <w:p>
      <w:pPr/>
      <w: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rPr>
        <w:t>Fig. 3 Number of panel-scope cells passing the primary policy at each exact budget.</w:t>
      </w:r>
      <w:r>
        <w:t xml:space="preserve"> Gold outlines identify the first 4/4 budget.</w:t>
      </w:r>
    </w:p>
    <w:p>
      <w:pPr>
        <w:spacing w:before="40" w:after="160"/>
        <w:jc w:val="center"/>
      </w:pPr>
      <w: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5"/>
                    <a:stretch>
                      <a:fillRect/>
                    </a:stretch>
                  </pic:blipFill>
                  <pic:spPr>
                    <a:xfrm>
                      <a:off x="0" y="0"/>
                      <a:ext cx="5806440" cy="1660740"/>
                    </a:xfrm>
                    <a:prstGeom prst="rect"/>
                  </pic:spPr>
                </pic:pic>
              </a:graphicData>
            </a:graphic>
          </wp:inline>
        </w:drawing>
      </w:r>
    </w:p>
    <w:p>
      <w:pPr/>
      <w:r>
        <w:t xml:space="preserve">The entropy result deserves closer inspection. In the standardized cluster- latest scope, entropy passes at 150, 200, 250, and 300 tasks. At 300 tasks, </w:t>
      </w:r>
      <w:r>
        <w:t>τ</w:t>
      </w:r>
      <w:r>
        <w:rPr>
          <w:vertAlign w:val="subscript"/>
        </w:rPr>
        <w:t>b</w:t>
      </w:r>
      <w:r>
        <w:t xml:space="preserve"> is 0.976 and the cluster-bootstrap 2.5th percentile is 0.882. It then fails at 400, 450, and 475 tasks. At 400 tasks, </w:t>
      </w:r>
      <w:r>
        <w:t>τ</w:t>
      </w:r>
      <w:r>
        <w:rPr>
          <w:vertAlign w:val="subscript"/>
        </w:rPr>
        <w:t>b</w:t>
      </w:r>
      <w:r>
        <w:t xml:space="preserve">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Protocol-defined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Pointwise answer to RQ3.</w:t>
      </w:r>
      <w:r>
        <w:t xml:space="preserve"> Under the protocol-defined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2"/>
      </w:pPr>
      <w:r>
        <w:t>5.5 Harmonized and curve-wise uncertainty</w:t>
      </w:r>
    </w:p>
    <w:p>
      <w:pPr/>
      <w:r>
        <w:t>The harmonized bootstrap gives the same pointwise procedure budgets as Table 5, including 475 tasks for the temporal core set (Table 7). The unstandardized raw-deviation band forces every procedure to 500 tasks, but the budget-standardized cell-wise and joint max-t bands retain 475 for temporal core. Uniform random, repository-stratified random, and entropy remain at 500 under every harmonized definition.</w:t>
      </w:r>
    </w:p>
    <w:p>
      <w:pPr>
        <w:pStyle w:val="Caption"/>
      </w:pPr>
      <w:r>
        <w:rPr>
          <w:b/>
        </w:rPr>
        <w:t>Table 7. Harmonized procedure budgets under pointwise, raw-deviation, and standardized max-t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Table 8 explains the disagreement. At 475 tasks, the temporal-core pointwise lower bound in the standardized all-system cell is 0.947. The raw additive correction reduces it to 0.380 because one correction must absorb large unstandardized deviations elsewhere on the curve. The standardized cell-wise and joint bands are 0.907 and 0.890, both above the common 0.80 threshold. In the standardized cluster-latest cell, the corresponding raw and joint values are 0.066 and 0.951. The raw correction is therefore a deliberately severe stress test, not the uniquely correct conservative answer.</w:t>
      </w:r>
    </w:p>
    <w:p>
      <w:pPr>
        <w:pStyle w:val="Caption"/>
        <w:pageBreakBefore/>
      </w:pPr>
      <w:r>
        <w:rPr>
          <w:b/>
        </w:rPr>
        <w:t>Table 8. Temporal-core lower bounds at 475 tasks under the four uncertainty definitions.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 estimate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q.025</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0.916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0.978</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0.981</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0.947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0.380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0.907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0.890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0.066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r>
    </w:tbl>
    <w:p>
      <w:pPr>
        <w:spacing w:before="0" w:after="60"/>
      </w:pPr>
    </w:p>
    <w:p>
      <w:pPr/>
      <w:r>
        <w:t>The raw standardized-all correction is most often driven by the 250-task point (24% of replicates), whereas the raw standardized cluster-latest correction is most often driven by 25 tasks (25%). The joint standardized maximum is dispersed: its most frequent driver is the standardized cluster-latest 50-task point, but only in 7% of replicates. This diagnostic supports standardization when budgets have very different variances.</w:t>
      </w:r>
    </w:p>
    <w:p>
      <w:pPr/>
      <w:r>
        <w:t>The replicate-level minimum remains unstable before the positive control. For temporal core, 52% of pooled replicates first pass all four cells at 475 tasks (95% Wilson interval 51%–53%), and 56% select 475 under the rule requiring all larger candidate budgets to pass (55%–57%). Entropy's persistent-rule probabilities are 24% at 300, 29% at 400, and 45% at 500. Both random methods still require 500 under nested-prefix and independent-by-budget task draws.</w:t>
      </w:r>
    </w:p>
    <w:p>
      <w:pPr>
        <w:pStyle w:val="Caption"/>
      </w:pPr>
      <w:r>
        <w:rPr>
          <w:b/>
        </w:rPr>
        <w:t>Table 9. Five-seed Monte Carlo stability of common budgets and 475-task selection probabilities.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budget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First-pass 475 probability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Persistent-475 probability range</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11–12%</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51–52%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55–57%</w:t>
            </w:r>
          </w:p>
        </w:tc>
      </w:tr>
    </w:tbl>
    <w:p>
      <w:pPr>
        <w:spacing w:before="0" w:after="60"/>
      </w:pPr>
    </w:p>
    <w:p>
      <w:pPr/>
      <w:r>
        <w:t>Across the five seeds, every method's pointwise, raw, and joint common budget is invariant (Table 9). For the standardized all-system temporal-core cell at 475 tasks, the seed-specific pointwise lower bound ranges from 0.946 to 0.947 and the joint max-t lower band from 0.843 to 0.911. The range is material but does not cross the 0.80 decision threshold.</w:t>
      </w:r>
    </w:p>
    <w:p>
      <w:pPr/>
      <w:r>
        <w:rPr>
          <w:b/>
        </w:rPr>
        <w:t>Curve-wise answer to RQ3.</w:t>
      </w:r>
      <w:r>
        <w:t xml:space="preserve"> Under the decision-family joint max-t analysis, the common procedure budgets are 500, 500, 500, and 475 tasks. The raw cell-wise sensitivity alone returns 500 for all four because its common unstandardized correction is dominated by high-variance curve regions. The supported reduction is therefore at most 5%, procedure-level, and dependent on the uncertainty construction.</w:t>
      </w:r>
    </w:p>
    <w:p>
      <w:pPr>
        <w:pStyle w:val="Heading2"/>
      </w:pPr>
      <w:r>
        <w:t>5.6 Task identity, fixed selection, and clustering sensitivity</w:t>
      </w:r>
    </w:p>
    <w:p>
      <w:pPr/>
      <w:r>
        <w:t>At 475 tasks, the deterministic scope-trained sets are similar but not equal (Table 10). The standardized temporal-core sets share 457 tasks (Jaccard 0.927), which directly rules out interpreting 475 as one common subset. The all-system-selected fixed-set sensitivity is still more consequential (Table 11): the temporal-core procedure then requires 500 tasks, while entropy passes at 400. Random fixed-set values are omitted because a single draw does not estimate either stochastic selection procedure.</w:t>
      </w:r>
    </w:p>
    <w:p>
      <w:pPr>
        <w:pStyle w:val="Caption"/>
      </w:pPr>
      <w:r>
        <w:rPr>
          <w:b/>
        </w:rPr>
        <w:t>Table 10.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0.996</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0.927</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457</w:t>
            </w:r>
          </w:p>
        </w:tc>
      </w:tr>
    </w:tbl>
    <w:p>
      <w:pPr>
        <w:spacing w:before="0" w:after="60"/>
      </w:pPr>
    </w:p>
    <w:p>
      <w:pPr>
        <w:pStyle w:val="Caption"/>
      </w:pPr>
      <w:r>
        <w:rPr>
          <w:b/>
        </w:rPr>
        <w:t>Table 11. Fixed all-system selection sensitivity for deterministic procedures.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bl>
    <w:p>
      <w:pPr>
        <w:spacing w:before="0" w:after="60"/>
      </w:pPr>
    </w:p>
    <w:p>
      <w:pPr/>
      <w:r>
        <w:t>Online Resource 1 reports tau-b, tie-aware top-k Jaccard, full and reduced top-set sizes, pairwise direction agreement, calibrated score MAE, repository coverage, and random-baseline percentile for all 208 panel-scope-method-budget cells. This makes cases such as perfect top-k retention despite global-rank failure directly auditable.</w:t>
      </w:r>
    </w:p>
    <w:p>
      <w:pPr/>
      <w: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t>6 Discussion</w:t>
      </w:r>
    </w:p>
    <w:p>
      <w:pPr>
        <w:pStyle w:val="Heading2"/>
      </w:pPr>
      <w:r>
        <w:t>6.1 The result is a limitation, not a selector victory</w:t>
      </w:r>
    </w:p>
    <w:p>
      <w:pPr/>
      <w:r>
        <w:t>The developmental panel can support an attractive 150-task narrative for selected methods. That narrative fails under the standardized time-external validation panel and related-system sensitivity. Even the remaining 475-task temporal-core result depends on retraining the selector within each scope. It survives the budget-standardized joint max-t analysis but not the unstandardized raw band or the fixed-selection test. The strongest supported conclusion is therefore a limitation finding: the available public evidence supports at most a 5% procedure-level reduction, not one deployable 475-task set.</w:t>
      </w:r>
    </w:p>
    <w:p>
      <w:pPr/>
      <w:r>
        <w:t>Entropy remains a useful diagnostic baseline. It is simple, deterministic, and can perform well under a lenient policy. Yet it is not a robust primary-policy solution, and the present study does not claim algorithmic novelty. The temporal-core heuristic likewise does not justify a method paper: its apparent 5% saving survives standardized joint curve control but disappears when one all-system-trained set is fixed across scopes.</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 xml:space="preserve">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w:t>
      </w:r>
      <w:r>
        <w:t>τ</w:t>
      </w:r>
      <w:r>
        <w:rPr>
          <w:vertAlign w:val="subscript"/>
        </w:rPr>
        <w:t>b</w:t>
      </w:r>
      <w:r>
        <w:t>.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t>Enumeration alone does not address selection induced by scanning many noisy budgets. Curve-wise resampling exposes the distribution of the chosen minimum, and a simultaneous band can control the lower bound across the complete scan. Band construction matters: the raw unstandardized correction changes 475 to 500, whereas the joint standardized max-t band retains 475. A robustness analysis should therefore report its family, scaling, and driver budgets rather than label one curve-wise result as the uniquely conservative truth.</w:t>
      </w:r>
    </w:p>
    <w:p>
      <w:pPr>
        <w:pStyle w:val="Heading2"/>
      </w:pPr>
      <w:r>
        <w:t>6.3 Implications for benchmark maintenance</w:t>
      </w:r>
    </w:p>
    <w:p>
      <w:pPr/>
      <w:r>
        <w:t>We recommend a versioned maintenance cycle.</w:t>
      </w:r>
    </w:p>
    <w:p>
      <w:pPr>
        <w:spacing w:after="100"/>
        <w:ind w:left="403" w:hanging="288"/>
      </w:pPr>
      <w:r>
        <w:t xml:space="preserve">1. </w:t>
      </w:r>
      <w:r>
        <w:t>Freeze source commits, task identifiers, outcome matrices, and metadata.</w:t>
      </w:r>
    </w:p>
    <w:p>
      <w:pPr>
        <w:spacing w:after="100"/>
        <w:ind w:left="403" w:hanging="288"/>
      </w:pPr>
      <w:r>
        <w:t xml:space="preserve">2. </w:t>
      </w:r>
      <w:r>
        <w:t>Select candidate task sets only from an earlier system cohort.</w:t>
      </w:r>
    </w:p>
    <w:p>
      <w:pPr>
        <w:spacing w:after="100"/>
        <w:ind w:left="403" w:hanging="288"/>
      </w:pPr>
      <w:r>
        <w:t xml:space="preserve">3. </w:t>
      </w:r>
      <w:r>
        <w:t>Validate on later systems in each execution environment separately.</w:t>
      </w:r>
    </w:p>
    <w:p>
      <w:pPr>
        <w:spacing w:after="100"/>
        <w:ind w:left="403" w:hanging="288"/>
      </w:pPr>
      <w:r>
        <w:t xml:space="preserve">4. </w:t>
      </w:r>
      <w:r>
        <w:t>Add dependence-aware scopes for agent families, providers, or shared scaffolds.</w:t>
      </w:r>
    </w:p>
    <w:p>
      <w:pPr>
        <w:spacing w:after="100"/>
        <w:ind w:left="403" w:hanging="288"/>
      </w:pPr>
      <w:r>
        <w:t xml:space="preserve">5. </w:t>
      </w:r>
      <w:r>
        <w:t>Distinguish a common procedure budget from a fixed task set; report task identity overlap and, when deployment requires one set, test it directly.</w:t>
      </w:r>
    </w:p>
    <w:p>
      <w:pPr>
        <w:spacing w:after="100"/>
        <w:ind w:left="403" w:hanging="288"/>
      </w:pPr>
      <w:r>
        <w:t xml:space="preserve">6. </w:t>
      </w:r>
      <w:r>
        <w:t>Evaluate exact budgets with curve-wise uncertainty and a full-benchmark positive control.</w:t>
      </w:r>
    </w:p>
    <w:p>
      <w:pPr>
        <w:spacing w:after="100"/>
        <w:ind w:left="403" w:hanging="288"/>
      </w:pPr>
      <w:r>
        <w:t xml:space="preserve">7. </w:t>
      </w:r>
      <w:r>
        <w:t>Re-run the protocol when the system population, harness, or benchmark materially changes.</w:t>
      </w:r>
    </w:p>
    <w:p>
      <w:pPr/>
      <w:r>
        <w:t>This cycle parallels calls to re-evaluate empirical configurations as tools and benchmarks evolve (Golmohammadi et al. 2026). It also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Removing 5% or 50% of tasks need not reduce total cost by the same proportion. A deployment decision requires a separate cost model with observed per-task and fixed costs.</w:t>
      </w:r>
    </w:p>
    <w:p>
      <w:pPr>
        <w:pStyle w:val="Heading2"/>
      </w:pPr>
      <w:r>
        <w:t>6.5 Relevance after SWE-bench Verified became unsuitable for frontier evaluation</w:t>
      </w:r>
    </w:p>
    <w:p>
      <w:pPr/>
      <w: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 xml:space="preserve">The primary construct is preservation of a full-benchmark ranking, not real- world software engineering ability. If the full benchmark contains flawed, contaminated, or unrepresentative tasks, high subset fidelity reproduces those limitations. Recent audits make this threat concrete (Aleithan et al. 2024; OpenAI 2026; Yu et al. 2025). Kendall’s </w:t>
      </w:r>
      <w:r>
        <w:t>τ</w:t>
      </w:r>
      <w:r>
        <w:rPr>
          <w:vertAlign w:val="subscript"/>
        </w:rPr>
        <w:t>b</w:t>
      </w:r>
      <w:r>
        <w:t xml:space="preserve"> captures global ordering with ties, but a user may care more about a specific decision such as top-5 membership. Our inclusive tie-aware Jaccard removes arbitrary name-based tie breaking, but the top set can exceed k. We report set sizes and pairwise diagnostics; the decision remains </w:t>
      </w:r>
      <w:r>
        <w:t>τ</w:t>
      </w:r>
      <w:r>
        <w:rPr>
          <w:vertAlign w:val="subscript"/>
        </w:rPr>
        <w:t>b</w:t>
      </w:r>
      <w:r>
        <w:t xml:space="preserve"> based.</w:t>
      </w:r>
    </w:p>
    <w:p>
      <w:pPr/>
      <w:r>
        <w:t>The public score is a single binary-outcome aggregate. It does not represent patch quality, maintainability, efficiency, or repeated-run reliability.</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t>Random baselines use finite repetitions and bootstrap intervals use finite resamples. The chosen counts (10,000 pooled curve replicates from five seeds; 500 task draws; 500 two-way, 1,000 cluster, and 2,000 repository resamples) balance stability and runtime. With only seven standardized provider clusters, percentile support is discrete: across five seeds the 1,000-replicate lower bound varies by as much as 0.256 at some low-budget cells. The 475-task temporal-core cluster-latest lower bound is 1.0 under all tested seeds at both 1,000 and 5,000 repetitions, while the harmonized standardized all-system temporal-core pointwise lower bound at 475 varies only from 0.946 to 0.947. Its joint max-t lower band varies from 0.843 to 0.911. These are empirical sensitivity bounds, not exact confidence limits.</w:t>
      </w:r>
    </w:p>
    <w:p>
      <w:pPr/>
      <w:r>
        <w:t xml:space="preserve">The thresholds are normative reliability policies rather than estimates of a universal acceptable </w:t>
      </w:r>
      <w:r>
        <w:t>τ</w:t>
      </w:r>
      <w:r>
        <w:rPr>
          <w:vertAlign w:val="subscript"/>
        </w:rPr>
        <w:t>b</w:t>
      </w:r>
      <w:r>
        <w:t>. We expose lenient and strict policies to show how the conclusion depends on that choice.</w:t>
      </w:r>
    </w:p>
    <w:p>
      <w:pPr/>
      <w:r>
        <w:t>The original intervals vary across uncertainty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 The harmonized analysis is post hoc. Its raw band is unstandardized and cell-wise, while the max-t analysis uses budget-specific bootstrap standard deviations and controls the four-cell decision family. Neither construction establishes population coverage for the self-selected leaderboard.</w:t>
      </w:r>
    </w:p>
    <w:p>
      <w:pPr>
        <w:pStyle w:val="Heading2"/>
      </w:pPr>
      <w:r>
        <w:t>7.3 Conclusion validity</w:t>
      </w:r>
    </w:p>
    <w:p>
      <w:pPr/>
      <w: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r>
        <w:t>Scanning 13 budgets creates selection pressure. The original intervals are pointwise and the minimum passing budget can be unstable; curve-wise resampling, explicit raw and standardized simultaneous bands, driver diagnostics, and the persistent-rule distribution address but do not eliminate this issue. A future study should validate the chosen budget on an additional time window.</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w:t>
      </w:r>
    </w:p>
    <w:p>
      <w:pPr/>
      <w:r>
        <w:t>SWE-bench Verified's current unsuitability for frontier evaluation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t>8 Reproducibility</w:t>
      </w:r>
    </w:p>
    <w:p>
      <w:pPr/>
      <w: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 complete secondary-metric Online Resource, curve-band drivers, random-budget coupling sensitivity, analysis history, and an HTML diagnostic report. Tables 3–11 are regenerated from the machine-readable artifact and checked in continuous integration.</w:t>
      </w:r>
    </w:p>
    <w:p>
      <w:pPr/>
      <w:r>
        <w:t xml:space="preserve">The authoritative GitHub Actions execution completed successfully on 26 August 2026 (run 32970788181; workflow duration 23 min 38 s) from experiment commit </w:t>
      </w:r>
      <w:r>
        <w:rPr>
          <w:rFonts w:ascii="Consolas" w:hAnsi="Consolas"/>
          <w:color w:val="1F4D78"/>
          <w:sz w:val="19"/>
        </w:rPr>
        <w:t>4bcbd4a2cd259f9722e1fa3eb83fa1e03b79df75</w:t>
      </w:r>
      <w:r>
        <w:t xml:space="preserve">. The downloaded artifact has SHA-256 </w:t>
      </w:r>
      <w:r>
        <w:rPr>
          <w:rFonts w:ascii="Consolas" w:hAnsi="Consolas"/>
          <w:color w:val="1F4D78"/>
          <w:sz w:val="19"/>
        </w:rPr>
        <w:t>c66da9edd849c36335fb15a687331d2058cb8c900c29264d38b2d06b2070c334</w:t>
      </w:r>
      <w:r>
        <w:t>. Its primary, harmonized, diagnostic, stability, coupling, and Online Resource CSVs match the local formal execution byte for byte, and the manuscript table consistency check passes against the downloaded artifact.</w:t>
      </w:r>
    </w:p>
    <w:p>
      <w:pPr/>
      <w:r>
        <w:t xml:space="preserve">Twenty-one unit and integration tests cover metric boundaries, tie-aware top-k sets, exact subset sizes, source parsing, cluster handling, decision thresholds, and the non-monotone common-budget regression, nested random paths, and joint four-cell curve resampling. The artifact contains 208 unique panel-scope-method-budget rows, no duplicate cells, and no missing primary rank metrics. The 500-task validator requires all 16 combinations of two panels, two scopes, and four methods; all reproduce </w:t>
      </w:r>
      <w:r>
        <w:t>τ</w:t>
      </w:r>
      <w:r>
        <w:rPr>
          <w:vertAlign w:val="subscript"/>
        </w:rPr>
        <w:t>b</w:t>
      </w:r>
      <w:r>
        <w:t>=1, top-k Jaccard=1, and zero calibrated score error.</w:t>
      </w:r>
    </w:p>
    <w:p>
      <w:pPr/>
      <w:r>
        <w:t>The upstream binary outcome matrices are not redistributed. The source manifest records immutable URLs and commits so a reproducer can recollect them. This choice respects upstream data ownership while retaining an auditable chain from source to result.</w:t>
      </w:r>
    </w:p>
    <w:p>
      <w:pPr>
        <w:pStyle w:val="Heading2"/>
      </w:pPr>
      <w:r>
        <w:t>8.1 Data availability</w:t>
      </w:r>
    </w:p>
    <w:p>
      <w:pPr/>
      <w:r>
        <w:t xml:space="preserve">The study uses public SWE-bench Verified identifiers, outcome files, and leaderboard metadata pinned by commit and URL in </w:t>
      </w:r>
      <w:r>
        <w:rPr>
          <w:rFonts w:ascii="Consolas" w:hAnsi="Consolas"/>
          <w:color w:val="1F4D78"/>
          <w:sz w:val="19"/>
        </w:rPr>
        <w:t>source_manifest.json</w:t>
      </w:r>
      <w:r>
        <w:t>. The upstream outcome matrices are recollected by the scripts and are not redistributed. The generated aggregate and sensitivity tables contain no personal or private data. A public immutable archive and persistent DOI remain required before journal submission.</w:t>
      </w:r>
    </w:p>
    <w:p>
      <w:pPr>
        <w:pStyle w:val="Heading2"/>
      </w:pPr>
      <w:r>
        <w:t>8.2 Code availability</w:t>
      </w:r>
    </w:p>
    <w:p>
      <w:pPr/>
      <w:r>
        <w:t xml:space="preserve">The implementation is version controlled at </w:t>
      </w:r>
      <w:r>
        <w:rPr>
          <w:color w:val="2E74B5"/>
          <w:u w:val="single"/>
        </w:rPr>
        <w:t>https://github.com/coloursophia/coding-agent-benchmark-maintenance.</w:t>
      </w:r>
      <w:r>
        <w:t xml:space="preserve"> The replication bundle records the exact commit, workflow run, artifact checksum, configuration, deterministic seed rules, exclusions, cluster mapping, and end-to-end command. A tagged public release is required before submission.</w:t>
      </w:r>
    </w:p>
    <w:p>
      <w:pPr>
        <w:pStyle w:val="Heading2"/>
      </w:pPr>
      <w:r>
        <w:t>8.3 Use of generative AI</w:t>
      </w:r>
    </w:p>
    <w:p>
      <w:pPr/>
      <w:r>
        <w:t>OpenAI Codex assisted with implementing analysis code, checking calculations, and drafting and copyediting the manuscript. The human authors are responsible for verifying the code, results, citations, claims, and final text; the system is not an author.</w:t>
      </w:r>
    </w:p>
    <w:p>
      <w:pPr>
        <w:pStyle w:val="Heading2"/>
      </w:pPr>
      <w:r>
        <w:t>8.4 Ethics</w:t>
      </w:r>
    </w:p>
    <w:p>
      <w:pPr/>
      <w:r>
        <w:t>Ethics approval and participant consent are not applicable because the study analyzes public secondary benchmark artifacts and does not recruit or intervene with human participants.</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standardized four-cell joint max-t band, the same 500/500/500/475 budgets remain. An unstandardized raw-deviation band instead forces all four to 500, demonstrating that the scaling and family of the band are part of the conclusion. Fixed selection and alternative cluster definitions further showed that neither task identity nor threshold crossing is invariant to the evaluation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t>References</w:t>
      </w:r>
    </w:p>
    <w:p>
      <w:pPr>
        <w:pStyle w:val="References"/>
      </w:pPr>
      <w:r>
        <w:t xml:space="preserve">Aleithan R, Xue H, Mohajer MM, Nnorom E, Uddin G, Wang S (2024) SWE-Bench+: enhanced coding benchmark for LLMs. arXiv:2410.06992. </w:t>
      </w:r>
      <w:r>
        <w:rPr>
          <w:color w:val="2E74B5"/>
          <w:u w:val="single"/>
        </w:rPr>
        <w:t>https://doi.org/10.48550/arXiv.2410.06992</w:t>
      </w:r>
    </w:p>
    <w:p>
      <w:pPr>
        <w:pStyle w:val="References"/>
      </w:pPr>
      <w:r>
        <w:t xml:space="preserve">Baltes S, Ralph P (2022) Sampling in software engineering research: a critical review and guidelines. Empir Softw Eng 27:94. </w:t>
      </w:r>
      <w:r>
        <w:rPr>
          <w:color w:val="2E74B5"/>
          <w:u w:val="single"/>
        </w:rPr>
        <w:t>https://doi.org/10.1007/s10664-021-10072-8</w:t>
      </w:r>
    </w:p>
    <w:p>
      <w:pPr>
        <w:pStyle w:val="References"/>
      </w:pPr>
      <w:r>
        <w:t xml:space="preserve">Davison AC, Hinkley DV (1997) Bootstrap methods and their application. Cambridge University Press, Cambridge. </w:t>
      </w:r>
      <w:r>
        <w:rPr>
          <w:color w:val="2E74B5"/>
          <w:u w:val="single"/>
        </w:rPr>
        <w:t>https://doi.org/10.1017/CBO9780511802843</w:t>
      </w:r>
    </w:p>
    <w:p>
      <w:pPr>
        <w:pStyle w:val="References"/>
      </w:pPr>
      <w:r>
        <w:t xml:space="preserve">Destefanis G, Yousefi L, Shepperd M, Tucker A, Swift S, Counsell S, Arzoky M (2026) An audit of machine learning experiments on software defect prediction. Empir Softw Eng 31:83. </w:t>
      </w:r>
      <w:r>
        <w:rPr>
          <w:color w:val="2E74B5"/>
          <w:u w:val="single"/>
        </w:rPr>
        <w:t>https://doi.org/10.1007/s10664-025-10797-w</w:t>
      </w:r>
    </w:p>
    <w:p>
      <w:pPr>
        <w:pStyle w:val="References"/>
      </w:pPr>
      <w:r>
        <w:t xml:space="preserve">Efron B, Tibshirani R (1985) The bootstrap method for assessing statistical accuracy. Behaviormetrika 12:1–35. </w:t>
      </w:r>
      <w:r>
        <w:rPr>
          <w:color w:val="2E74B5"/>
          <w:u w:val="single"/>
        </w:rPr>
        <w:t>https://doi.org/10.2333/bhmk.12.17_1</w:t>
      </w:r>
    </w:p>
    <w:p>
      <w:pPr>
        <w:pStyle w:val="References"/>
      </w:pPr>
      <w:r>
        <w:t xml:space="preserve">Golmohammadi A, Zhang M, Arcuri A (2026) Tools and benchmarks evolve: what is their impact on parameter tuning in SBSE experiments? Empir Softw Eng 31:8. </w:t>
      </w:r>
      <w:r>
        <w:rPr>
          <w:color w:val="2E74B5"/>
          <w:u w:val="single"/>
        </w:rPr>
        <w:t>https://doi.org/10.1007/s10664-025-10733-y</w:t>
      </w:r>
    </w:p>
    <w:p>
      <w:pPr>
        <w:pStyle w:val="References"/>
      </w:pPr>
      <w:r>
        <w:t xml:space="preserve">Gusev R, Zaytsev A (2026) Benchmarking on tasks that matter: dataset selection for preserving model rankings. In: Proceedings of the 32nd ACM SIGKDD Conference on Knowledge Discovery and Data Mining. </w:t>
      </w:r>
      <w:r>
        <w:rPr>
          <w:color w:val="2E74B5"/>
          <w:u w:val="single"/>
        </w:rPr>
        <w:t>https://doi.org/10.1145/3770855.3817569</w:t>
      </w:r>
    </w:p>
    <w:p>
      <w:pPr>
        <w:pStyle w:val="References"/>
      </w:pPr>
      <w:r>
        <w:t xml:space="preserve">Jimenez CE, Yang J, Wettig A, Yao S, Pei K, Press O, Narasimhan K (2024) SWE-bench: can language models resolve real-world GitHub issues? In: International Conference on Learning Representations. </w:t>
      </w:r>
      <w:r>
        <w:rPr>
          <w:color w:val="2E74B5"/>
          <w:u w:val="single"/>
        </w:rPr>
        <w:t>https://openreview.net/forum?id=VTF8yNQM66</w:t>
      </w:r>
    </w:p>
    <w:p>
      <w:pPr>
        <w:pStyle w:val="References"/>
      </w:pPr>
      <w:r>
        <w:t xml:space="preserve">Kaltenecker C, Mühlbauer S, Grebhahn A, Siegmund N, Apel S (2023) Performance evolution of configurable software systems: an empirical study. Empir Softw Eng 28:152. </w:t>
      </w:r>
      <w:r>
        <w:rPr>
          <w:color w:val="2E74B5"/>
          <w:u w:val="single"/>
        </w:rPr>
        <w:t>https://doi.org/10.1007/s10664-023-10338-3</w:t>
      </w:r>
    </w:p>
    <w:p>
      <w:pPr>
        <w:pStyle w:val="References"/>
      </w:pPr>
      <w:r>
        <w:t xml:space="preserve">Kendall MG (1945) The treatment of ties in ranking problems. Biometrika 33(3):239–251. </w:t>
      </w:r>
      <w:r>
        <w:rPr>
          <w:color w:val="2E74B5"/>
          <w:u w:val="single"/>
        </w:rPr>
        <w:t>https://doi.org/10.1093/biomet/33.3.239</w:t>
      </w:r>
    </w:p>
    <w:p>
      <w:pPr>
        <w:pStyle w:val="References"/>
      </w:pPr>
      <w:r>
        <w:t xml:space="preserve">Laaber C, Gall HC, Leitner P (2021) Applying test case prioritization to software microbenchmarks. Empir Softw Eng 26:133. </w:t>
      </w:r>
      <w:r>
        <w:rPr>
          <w:color w:val="2E74B5"/>
          <w:u w:val="single"/>
        </w:rPr>
        <w:t>https://doi.org/10.1007/s10664-021-10037-x</w:t>
      </w:r>
    </w:p>
    <w:p>
      <w:pPr>
        <w:pStyle w:val="References"/>
      </w:pPr>
      <w:r>
        <w:t xml:space="preserve">Martinez M, Franch X (2026) What’s in a benchmark? The case of SWE-Bench in automated program repair. In: Proceedings of ICSE-SEIP 2026, pp 647–658. </w:t>
      </w:r>
      <w:r>
        <w:rPr>
          <w:color w:val="2E74B5"/>
          <w:u w:val="single"/>
        </w:rPr>
        <w:t>https://doi.org/10.1145/3786583.3786904</w:t>
      </w:r>
    </w:p>
    <w:p>
      <w:pPr>
        <w:pStyle w:val="References"/>
      </w:pPr>
      <w:r>
        <w:t xml:space="preserve">OpenAI (2024) Introducing SWE-bench Verified. </w:t>
      </w:r>
      <w:r>
        <w:rPr>
          <w:color w:val="2E74B5"/>
          <w:u w:val="single"/>
        </w:rPr>
        <w:t>https://openai.com/index/introducing-swe-bench-verified/.</w:t>
      </w:r>
      <w:r>
        <w:t xml:space="preserve"> Accessed 26 August 2026</w:t>
      </w:r>
    </w:p>
    <w:p>
      <w:pPr>
        <w:pStyle w:val="References"/>
      </w:pPr>
      <w:r>
        <w:t xml:space="preserve">OpenAI (2026) Why SWE-bench Verified no longer measures frontier coding capabilities. </w:t>
      </w:r>
      <w:r>
        <w:rPr>
          <w:color w:val="2E74B5"/>
          <w:u w:val="single"/>
        </w:rPr>
        <w:t>https://openai.com/index/why-we-no-longer-evaluate-swe-bench-verified/.</w:t>
      </w:r>
      <w:r>
        <w:t xml:space="preserve"> Accessed 26 August 2026</w:t>
      </w:r>
    </w:p>
    <w:p>
      <w:pPr>
        <w:pStyle w:val="References"/>
      </w:pPr>
      <w:r>
        <w:t xml:space="preserve">Wang S, Wang C, Fu W, Min Y, Feng M, Guan I, Hu X, He C, Wang C, Yang K, Ren X, Huang F, Liu D, Zhang L (2025) Rethinking LLM evaluation: can we evaluate LLMs with 200x less data? arXiv:2510.10457. </w:t>
      </w:r>
      <w:r>
        <w:rPr>
          <w:color w:val="2E74B5"/>
          <w:u w:val="single"/>
        </w:rPr>
        <w:t>https://doi.org/10.48550/arXiv.2510.10457</w:t>
      </w:r>
    </w:p>
    <w:p>
      <w:pPr>
        <w:pStyle w:val="References"/>
      </w:pPr>
      <w:r>
        <w:t xml:space="preserve">Yoo S, Harman M (2012) Regression testing minimization, selection and prioritization: a survey. Softw Test Verif Reliab 22(2):67–120. </w:t>
      </w:r>
      <w:r>
        <w:rPr>
          <w:color w:val="2E74B5"/>
          <w:u w:val="single"/>
        </w:rPr>
        <w:t>https://doi.org/10.1002/stvr.430</w:t>
      </w:r>
    </w:p>
    <w:p>
      <w:pPr>
        <w:pStyle w:val="References"/>
      </w:pPr>
      <w:r>
        <w:t xml:space="preserve">Yu B, Zhu Y, He P, Kang D (2025) UTBoost: rigorous evaluation of coding agents on SWE-Bench. In: Proceedings of the 63rd Annual Meeting of the Association for Computational Linguistics, pp 3762–3774. </w:t>
      </w:r>
      <w:r>
        <w:rPr>
          <w:color w:val="2E74B5"/>
          <w:u w:val="single"/>
        </w:rPr>
        <w:t>https://doi.org/10.18653/v1/2025.acl-long.189</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C"/>
        <w:sz w:val="17"/>
      </w:rPr>
      <w:t>Manuscript for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Limits of Task-Set Reduction in SWE-bench Verified</w:t>
    </w:r>
    <w:r>
      <w:rPr>
        <w:rFonts w:ascii="Calibri" w:hAnsi="Calibri"/>
        <w:color w:val="66717C"/>
        <w:sz w:val="17"/>
      </w:rPr>
      <w:t xml:space="preserve">  |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coding agents; benchmark reduction; leaderboard reliability; SWE-bench Verified; temporal validation; ranking uncertainty</cp:keywords>
  <dc:description>Temporal ranking-reliability study</dc:description>
  <cp:lastModifiedBy/>
  <cp:revision>1</cp:revision>
  <dcterms:created xsi:type="dcterms:W3CDTF">2013-12-23T23:15:00Z</dcterms:created>
  <dcterms:modified xsi:type="dcterms:W3CDTF">2013-12-23T23:15:00Z</dcterms:modified>
  <cp:category/>
</cp:coreProperties>
</file>