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Manuscript</w:t>
      </w:r>
    </w:p>
    <w:p>
      <w:pPr>
        <w:spacing w:after="680"/>
        <w:jc w:val="center"/>
      </w:pPr>
      <w:r>
        <w:rPr>
          <w:rFonts w:ascii="Calibri" w:hAnsi="Calibri"/>
          <w:i/>
          <w:color w:val="66717C"/>
          <w:sz w:val="21"/>
        </w:rPr>
        <w:t>Prepared for Empirical Software Engineering</w:t>
      </w:r>
    </w:p>
    <w:p>
      <w:r>
        <w:br w:type="page"/>
      </w:r>
    </w:p>
    <w:p>
      <w:pPr>
        <w:pStyle w:val="Heading1"/>
      </w:pPr>
      <w:r>
        <w:t>Abstract</w:t>
      </w:r>
    </w:p>
    <w:p>
      <w:pPr/>
      <w:r>
        <w:t xml:space="preserve">Coding-agent leaderboards make smaller task sets attractive, but a subset is useful only if it preserves the ranking of later systems. We test this time-forward requirement in two 500-task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w:t>
      </w:r>
      <w:r>
        <w:t>τ</w:t>
      </w:r>
      <w:r>
        <w:rPr>
          <w:vertAlign w:val="subscript"/>
        </w:rPr>
        <w:t>b</w:t>
      </w:r>
      <w:r>
        <w:t>, a tie-aware top-k Jaccard diagnostic, and the all-systems and cluster-latest scopes. A harmonized curve bootstrap resamples held-out system clusters for every method and redraws tasks for stochastic procedures. Later cohorts had higher mean solve rates; entropy declined clearly only in the standardized panel. Under the protocol-defined pointwise policy, the common procedure budgets were 500, 500, 500, and 475 tasks, respectively. A post hoc joint max-t sensitivity retained these budgets only with standardized bands and scope-specific retraining; fixed selection required all 500 tasks. An unstandardized raw-deviation band forced all four to 500. Entropy was also non-monotone, passing at 150–300 tasks but failing at 400–475 in one scope. Task identities varied across scope-trained selectors, so a common budget does not denote one fixed public subset. Thus, no procedure supported more than a 5% reduction under the primary policy, and even that saving was not a fixed deployable set. Maintainers should validate selection procedures on later systems, model-related submissions, and report curve-wise selection uncertainty rather than assume fidelity increases with budget.</w:t>
      </w:r>
    </w:p>
    <w:p>
      <w:pPr>
        <w:jc w:val="left"/>
      </w:pPr>
      <w:r>
        <w:rPr>
          <w:b/>
        </w:rPr>
        <w:t>Keywords:</w:t>
      </w:r>
      <w:r>
        <w:t xml:space="preserve"> coding agents; benchmark reduction; leaderboard reliability; SWE-bench Verified; temporal validation; ranking uncertainty</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(Harrold et al. 1993; Yoo and Harman 2012). For a leaderboard, however, the relevant property is not merely task coverage or fault detection. A reduced set must preserve comparative conclusions among systems. Benchmark-task choice alone can alter the relative performance of methods (Dehghani et al. 2021), so agreement on the systems already observed is not enough evidence that the same subset will rank later systems reliably. A subset can also appear stable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data-generating processes can drift over time (Gama et al. 2014), because software tools and benchmark configurations evolve (Golmohammadi et al. 2026), and because benchmark conclusions can depend on uncontrolled sources of variation (Bouthillier et al. 2021). Out-of-sample validation and transparent reporting also remain uneven in empirical software engineering (Destefanis et al. 2026).</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t>We make four contributions.</w:t>
      </w:r>
    </w:p>
    <w:p>
      <w:pPr>
        <w:spacing w:after="100"/>
        <w:ind w:left="403" w:hanging="288"/>
      </w:pPr>
      <w:r>
        <w:t xml:space="preserve">1. </w:t>
      </w:r>
      <w:r>
        <w:t>We instantiate ranking-preserving benchmark reduction for coding agents as a time-forward evaluation, complementing general benchmark-compression work rather than claiming the first study of subset selection.</w:t>
      </w:r>
    </w:p>
    <w:p>
      <w:pPr>
        <w:spacing w:after="10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100"/>
        <w:ind w:left="403" w:hanging="288"/>
      </w:pPr>
      <w:r>
        <w:t xml:space="preserve">3. </w:t>
      </w:r>
      <w:r>
        <w:t>We evaluate four selection procedures over 13 budgets with task- and system-side uncertainty, curve-wise resampling, tie-aware diagnostics, threshold sensitivity, and a mandatory 500-task positive control.</w:t>
      </w:r>
    </w:p>
    <w:p>
      <w:pPr>
        <w:spacing w:after="100"/>
        <w:ind w:left="403" w:hanging="288"/>
      </w:pPr>
      <w:r>
        <w:t xml:space="preserve">4. </w:t>
      </w:r>
      <w:r>
        <w:t>We report a limitation finding and disclose its analysis history: a 475-task procedure-level result under the protocol-defined pointwise rule is tested with a post-protocol robustness analysis added during review rather than described as a confirmatory result.</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 This maintenance stance is consistent with broader calls to document dataset lineage and to treat benchmark design as an ongoing measurement responsibility rather than a one-time release (Paullada et al. 2021; Raji et al. 2021).</w:t>
      </w:r>
    </w:p>
    <w:p>
      <w:pPr>
        <w:pStyle w:val="Heading1"/>
      </w:pPr>
      <w:r>
        <w:t>2 Background and Related Work</w:t>
      </w:r>
    </w:p>
    <w:p>
      <w:pPr>
        <w:pStyle w:val="Heading2"/>
      </w:pPr>
      <w:r>
        <w:t>2.1 Coding-agent benchmarks, task validity, and maintenance</w:t>
      </w:r>
    </w:p>
    <w:p>
      <w:pPr/>
      <w: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These sources establish the benchmark's construction; they do not establish that every task remains valid indefinitely.</w:t>
      </w:r>
    </w:p>
    <w:p>
      <w:pPr/>
      <w:r>
        <w:t>Subsequent studies identify distinct validity risks. SWE-Bench+ reports solution leakage, weak tests, and contamination concerns (Aleithan et al. 2024). UTBoost augments tests, identifies patches that had been incorrectly accepted, and shows that corrected outcomes can change leaderboard positions (Yu et al. 2025). OpenAI's later audit reports residual test-design problems and evidence of contamination among frontier models (OpenAI 2026). These works concern whether recorded task outcomes measure the intended capability. Our study assumes a frozen, quality-checked outcome matrix and asks a different question: whether selecting fewer columns preserves the full-matrix ordering of later systems. Perfect subset fidelity would not validate a flawed task, and a corrected task suite could still be too small to preserve rankings.</w:t>
      </w:r>
    </w:p>
    <w:p>
      <w:pPr/>
      <w:r>
        <w:t>The submission ecosystem is also heterogeneous. Martinez and Franch (2026) document substantial variation in participants, products, model choices, and openness among SWE-bench leaderboard entries. We therefore do not treat leaderboard rows as interchangeable independent systems. The open-submission and standardized Bash-only formats are analyzed separately, and related-system sensitivity is reported rather than pooling every row into one analysis.</w:t>
      </w:r>
    </w:p>
    <w:p>
      <w:pPr>
        <w:pStyle w:val="Heading2"/>
      </w:pPr>
      <w:r>
        <w:t>2.2 Test-suite reduction and benchmark compression</w:t>
      </w:r>
    </w:p>
    <w:p>
      <w:pPr/>
      <w:r>
        <w:t>Software-testing research distinguishes test-suite minimization, regression test selection, and test-case prioritization (Yoo and Harman 2012). Early minimization work sought a representative subset that retained specified test requirements (Harrold et al. 1993), while prioritization studies evaluated whether ordering could improve the rate of fault detection (Elbaum et al. 2002). These objectives are property-specific: a smaller suite is defensible only relative to the coverage, change relevance, or fault-detection property that it preserves. Microbenchmark prioritization likewise shows that benefits and overhead vary across suites and parameterizations (Laaber et al. 2021).</w:t>
      </w:r>
    </w:p>
    <w:p>
      <w:pPr/>
      <w:r>
        <w:t>Benchmark compression replaces testing requirements with evaluation requirements. Dehghani et al. (2021) show that changing benchmark tasks can alter the relative performance of machine-learning methods. Gusev and Zaytsev (2026) directly optimize dataset selection for model-rank preservation and show that gains over random selection depend on the benchmark regime and task representation. EssenceBench combines redundancy analysis, score reconstruction, and subset search for language-model evaluation and reports large reductions on several natural-language benchmarks (Wang et al. 2025). Our estimand is narrower than general compression: a selection procedure must transfer from earlier coding-agent systems to later ones, under two dependence scopes, while retaining a 500-task positive control. We do not propose a generally superior selector.</w:t>
      </w:r>
    </w:p>
    <w:p>
      <w:pPr>
        <w:pStyle w:val="Heading2"/>
      </w:pPr>
      <w:r>
        <w:t>2.3 Ranking preservation and leaderboard reliability</w:t>
      </w:r>
    </w:p>
    <w:p>
      <w:pPr/>
      <w:r>
        <w:t>Leaderboard reliability is not exhausted by a point estimate. Benchmark comparisons can change when data sampling, initialization, and hyperparameter choices are incorporated into the uncertainty analysis (Bouthillier et al. 2021). Model-comparison work similarly argues for comparing performance distributions rather than isolated scores (Dror et al. 2019). These findings motivate reporting task-selection and held-out-system uncertainty separately before adding a harmonized sensitivity.</w:t>
      </w:r>
    </w:p>
    <w:p>
      <w:pPr/>
      <w:r>
        <w:t xml:space="preserve">Rank correlation is appropriate when the target is comparative order rather than absolute score. Kendall's </w:t>
      </w:r>
      <w:r>
        <w:t>τ</w:t>
      </w:r>
      <w:r>
        <w:rPr>
          <w:vertAlign w:val="subscript"/>
        </w:rPr>
        <w:t>b</w:t>
      </w:r>
      <w:r>
        <w:t xml:space="preserve"> explicitly handles tied ranks (Kendall 1945), which are common when systems resolve the same number of tasks. We supplement </w:t>
      </w:r>
      <w:r>
        <w:t>τ</w:t>
      </w:r>
      <w:r>
        <w:rPr>
          <w:vertAlign w:val="subscript"/>
        </w:rPr>
        <w:t>b</w:t>
      </w:r>
      <w:r>
        <w:t xml:space="preserve"> with a tie-inclusive top-k Jaccard diagnostic, pairwise direction agreement, calibrated score error, and repository coverage. The top-k measure is a decision diagnostic, not a replacement for the global ordering metric. This distinction follows broader critiques that a leaderboard score may not capture the dimensions of utility that matter to a particular user (Ethayarajh and Jurafsky 2020).</w:t>
      </w:r>
    </w:p>
    <w:p>
      <w:pPr/>
      <w:r>
        <w:t>Benchmark design also defines what later work is incentivized to optimize. Bowman and Dahl (2021) argue that benchmark usefulness depends on dataset quality, reliability, size, and the intended capability, while Raji et al. (2021) caution against treating a small set of prominent benchmarks as general measures of progress. Our claim is correspondingly bounded: we evaluate the reliability of one historical ranking procedure, not general software-engineering capability.</w:t>
      </w:r>
    </w:p>
    <w:p>
      <w:pPr>
        <w:pStyle w:val="Heading2"/>
      </w:pPr>
      <w:r>
        <w:t>2.4 Temporal validation and benchmark evolution</w:t>
      </w:r>
    </w:p>
    <w:p>
      <w:pPr/>
      <w:r>
        <w:t>Time-forward validation treats the relation learned from an earlier cohort as potentially unstable. Concept-drift research formalizes the broader problem of data-generating relationships changing over time (Gama et al. 2014). We do not claim that the observed SWE-bench changes satisfy a particular drift model; the literature supplies the reason to test transfer rather than assume stationarity.</w:t>
      </w:r>
    </w:p>
    <w:p>
      <w:pPr/>
      <w:r>
        <w:t>Software-engineering evidence makes the risk concrete. Golmohammadi et al. (2026) show that parameter-tuning conclusions in search-based software engineering can require periodic re-evaluation as tools and benchmarks evolve. Kaltenecker et al. (2023) find that relative performance rankings across configurable-system releases are often stable but have consequential exceptions. Baltes and Ralph (2022) further show that sampling and representativeness require explicit justification in software-engineering studies. Our response is to freeze sources, preserve temporal order, keep the two execution panels separate, and label the earlier open panel as developmental because its held-out period was inspected during pilot work.</w:t>
      </w:r>
    </w:p>
    <w:p>
      <w:pPr>
        <w:pStyle w:val="Heading2"/>
      </w:pPr>
      <w:r>
        <w:t>2.5 Dependence, resampling, and selection over budgets</w:t>
      </w:r>
    </w:p>
    <w:p>
      <w:pPr/>
      <w:r>
        <w:t>Repeated submissions from one agent family or provider create a clustered observation structure. Resampling whole clusters is a standard way to retain within-cluster dependence, although the validity and stability of cluster bootstraps depend on the data structure and become fragile with few clusters (Field and Welsh 2007; Cameron et al. 2008). We therefore report both all-systems and cluster-latest scopes, publish the cluster mapping, and examine alternative cluster definitions rather than claiming that one provider label fully identifies statistical dependence.</w:t>
      </w:r>
    </w:p>
    <w:p>
      <w:pPr/>
      <w:r>
        <w:t>The uncertainty problem also spans 13 searched budgets. Pointwise intervals do not provide simultaneous protection over a family of inspected decisions. Simultaneous-inference and resampling literature motivates max-type adjustments when many comparisons are considered together (Westfall and Young 1993; Hothorn et al. 2008). More generally, inference after a data-driven choice can require wider protection than inference for a prespecified target (Berk et al. 2013). Our joint max-t band is a post hoc, custom empirical diagnostic informed by that literature; it is not presented as a new general procedure with theoretical coverage guarantees.</w:t>
      </w:r>
    </w:p>
    <w:p>
      <w:pPr>
        <w:pStyle w:val="Heading2"/>
      </w:pPr>
      <w:r>
        <w:t>2.6 Reproducibility and citation of research objects</w:t>
      </w:r>
    </w:p>
    <w:p>
      <w:pPr/>
      <w:r>
        <w:t>Computational reproducibility requires more than a prose description. Version control, automated checks, and executable workflows reduce avoidable errors in scientific software (Wilson et al. 2014). The software-citation principles treat software as a citable research product and emphasize specificity, persistence, accessibility, and credit (Smith et al. 2016); the data-citation principles make analogous demands for datasets (Data Citation Synthesis Group 2014). ACM SIGSOFT's empirical standards likewise frame transparent reporting and replication materials as part of the evidence for software-engineering studies (Ralph 2021).</w:t>
      </w:r>
    </w:p>
    <w:p>
      <w:pPr/>
      <w:r>
        <w:t>Accordingly, this study separates scholarly citations from reproduction identifiers. Dataset papers, software repositories, and archived releases are cited as research objects. Commit identifiers and SHA-256 digests identify exact bytes and versions, but they are recorded in a reproduction manifest rather than treated as substitutes for references. A persistent archive DOI will replace the provisional repository citation before submission.</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 resulting selection procedures reproduce the full 500-task ranking of later systems across budgets, panels, and dependence scopes?</w:t>
      </w:r>
    </w:p>
    <w:p>
      <w:pPr/>
      <w:r>
        <w:rPr>
          <w:b/>
        </w:rPr>
        <w:t>RQ3 - Reliable procedure budgets.</w:t>
      </w:r>
      <w:r>
        <w:t xml:space="preserve"> What is the smallest single task count at which each selection procedure meets the protocol-defined reliability policy in both temporal panels and both dependence scopes? The estimand is a procedure budget; task identities may differ across cells.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The unit of observation is one public submission-task outcome. Canonical task identifiers come from the official SWE-bench Verified dataset (Jimenez et al. 2024; OpenAI 2024). Outcome matrices come from the official SWE-bench experiments repository, while public scores and submission metadata come from the official leaderboard website repository (SWE-bench Team 2026a, 2026b). All sources are pinned rather than read from moving branch heads.</w:t>
      </w:r>
    </w:p>
    <w:p>
      <w:pPr/>
      <w:r>
        <w:t xml:space="preserve">The final run uses experiments commit </w:t>
      </w:r>
      <w:r>
        <w:rPr>
          <w:rFonts w:ascii="Consolas" w:hAnsi="Consolas"/>
          <w:color w:val="1F4D78"/>
          <w:sz w:val="19"/>
        </w:rPr>
        <w:t>1faa91c</w:t>
      </w:r>
      <w:r>
        <w:t xml:space="preserve"> and website commit </w:t>
      </w:r>
      <w:r>
        <w:rPr>
          <w:rFonts w:ascii="Consolas" w:hAnsi="Consolas"/>
          <w:color w:val="1F4D78"/>
          <w:sz w:val="19"/>
        </w:rPr>
        <w:t>f42505b</w:t>
      </w:r>
      <w:r>
        <w:t xml:space="preserve">. Full commit identifiers, retrieval URLs, filenames, exclusions, collection times, and SHA-256 checksums are reported in Online Resource 2 and the machine-readable </w:t>
      </w:r>
      <w:r>
        <w:rPr>
          <w:rFonts w:ascii="Consolas" w:hAnsi="Consolas"/>
          <w:color w:val="1F4D78"/>
          <w:sz w:val="19"/>
        </w:rPr>
        <w:t>source_manifest.json</w:t>
      </w:r>
      <w:r>
        <w:t>. Commit and digest strings identify frozen versions; the dataset paper and software references identify the research objects themselves, following software- and data-citation guidance (Data Citation Synthesis Group 2014; Smith et al. 2016).</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exceeded the protocol-defined 0.15 percentage-point reconciliation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All protocol-defined data-quality checks succeeded.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heterogeneous panel provides time-external validation rather than a same-environment replication. The top-k diagnostic uses k=5.</w:t>
      </w:r>
    </w:p>
    <w:p>
      <w:pPr/>
      <w: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 xml:space="preserve">The primary outcome is Kendall’s </w:t>
      </w:r>
      <w:r>
        <w:t>τ</w:t>
      </w:r>
      <w:r>
        <w:rPr>
          <w:vertAlign w:val="subscript"/>
        </w:rPr>
        <w:t>b</w:t>
      </w:r>
      <w:r>
        <w:t xml:space="preserve">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t xml:space="preserve">Entropy and temporal core-set selection are deterministic for a fixed earlier cohort. For these methods, we bootstrap later systems by their related-system cluster 1,000 times and recompute </w:t>
      </w:r>
      <w:r>
        <w:t>τ</w:t>
      </w:r>
      <w:r>
        <w:rPr>
          <w:vertAlign w:val="subscript"/>
        </w:rPr>
        <w:t>b</w:t>
      </w:r>
      <w:r>
        <w:t>. Resampling whole clusters preserves the observed within-cluster grouping rather than treating member rows as independent (Field and Welsh 2007). RQ1 changes in solve rate and entropy use 2,000 repository-cluster bootstrap repetitions over tasks, where the repository is the resampling cluster.</w:t>
      </w:r>
    </w:p>
    <w:p>
      <w:pPr/>
      <w:r>
        <w:t>Because those intervals are not directly comparable, a post-protocol sensitivity added during review uses a harmonized curve bootstrap. Five independent seeds contribute 2,000 replicates each (10,000 pooled replicates). Within a panel and replicate, held-out system clusters are drawn once and reused for both scopes, preserving their dependence; the two panels are sampled independently and paired by replicate index. Each stochastic procedure draws one random task ordering per panel-replicate and evaluates nested prefixes at all 13 budgets. Deterministic procedures retain the task set selected from the earlier cohort within each scope.</w:t>
      </w:r>
    </w:p>
    <w:p>
      <w:pPr/>
      <w:r>
        <w:t>We report four lower-bound definitions. The first is the empirical pointwise 2.5th percentile. The second retains the v2 raw-deviation sensitivity: within each cell, one additive correction is the 2.5th percentile of the replicate minimum deviation across budgets. Because low-budget, high-variance points can dominate that correction, it is interpreted only as an intentionally conservative diagnostic. The third standardizes deviations by the budget-specific bootstrap standard deviation and takes a cell-wise max-t critical value. The fourth takes the maximum standardized shortfall across the complete four-cell-by-13-budget family for each procedure, producing the decision-family joint max-t lower band. Zero-variance endpoints, notably the exact 500-task positive control, remain at their point estimate. At 500 tasks, the reduced and full score vectors are identical, so fidelity is set to 1 by construction even when a degenerate cluster resample contains no comparable system pair. We report the budget driving each correction, per-seed ranges, and 95% Wilson Monte Carlo intervals conditional on the empirical resampling scheme for budget-selection probabilities (Wilson 1927). These intervals quantify finite simulation error, not coverage of an external system population. An additional 2,000-replicate sensitivity redraws random task sets independently at each budget to compare the v2 coupling with the nested-prefix estimand. The implementation follows standard bootstrap guidance on empirical intervals, dependent data, and Monte Carlo calculation (Efron and Tibshirani 1985; Davison and Hinkley 1997; Field and Welsh 2007). Max-type statistics are motivated by simultaneous-inference and resampling work (Westfall and Young 1993; Hothorn et al. 2008), and the need for curve-wise protection follows the general warning that data-driven selection changes the target of inference (Berk et al. 2013). Nevertheless, the four-cell max-t construction here is a custom empirical application whose coverage is assessed diagnostically rather than assumed.</w:t>
      </w:r>
    </w:p>
    <w:p>
      <w:pPr/>
      <w:r>
        <w:t>Formally, let τ̂(c,m,b) be the observed tau-b for cell c, method m, and budget b; let τʳ(c,m,b) be replicate r; and let s(c,m,b) be the across-replicate standard deviation. The raw cell-wise correction is the 2.5th percentile of the minimum, over budgets b, of [τʳ(c,m,b) − τ̂(c,m,b)]. For the standardized joint band, each replicate takes M(r,m) as the maximum, over cells c and budgets b, of [{the replicate mean of τʳ(c,m,b)} − τʳ(c,m,b)] / s(c,m,b), excluding zero-variance points. If q(m) is the 97.5th percentile of M(r,m), the joint lower band is L(c,m,b) = τ̂(c,m,b) − q(m)s(c,m,b). The cell-wise max-t band uses the same expression with the maximum and critical value calculated separately within each cell.</w:t>
      </w:r>
    </w:p>
    <w:p>
      <w:pPr/>
      <w: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t>4.7 Reliability policies and exact procedure budgets</w:t>
      </w:r>
    </w:p>
    <w:p>
      <w:pPr/>
      <w:r>
        <w:t xml:space="preserve">Under the protocol-defined pointwise policy, either random procedure passes when mean held-out </w:t>
      </w:r>
      <w:r>
        <w:t>τ</w:t>
      </w:r>
      <w:r>
        <w:rPr>
          <w:vertAlign w:val="subscript"/>
        </w:rPr>
        <w:t>b</w:t>
      </w:r>
      <w:r>
        <w:t xml:space="preserve"> is at least 0.90 and its task-sampling 2.5th percentile is at least 0.85. A deterministic procedure passes when </w:t>
      </w:r>
      <w:r>
        <w:t>τ</w:t>
      </w:r>
      <w:r>
        <w:rPr>
          <w:vertAlign w:val="subscript"/>
        </w:rPr>
        <w:t>b</w:t>
      </w:r>
      <w:r>
        <w:t xml:space="preserve">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pointwise, raw cell-wise, cell-wise max-t, or decision-family joint max-t curve-bootstrap bounds.</w:t>
      </w:r>
    </w:p>
    <w:p>
      <w:pPr/>
      <w:r>
        <w:t>The thresholds are governance choices, not natural constants, because the utility of a leaderboard decision depends on its user's purpose (Ethayarajh and Jurafsky 2020). In the tie-free case, Kendall's tau equals one minus twice the discordant-pair fraction, so tau values of 0.90 and 0.80 correspond to approximately 5% and 10% discordant pairs. Tau-b adjusts this relation for ties, but the comparison still gives an operational interpretation: the primary rule targets a public leaderboard with few pairwise reversals, whereas the lenient rule is more appropriate for internal screening.</w:t>
      </w:r>
    </w:p>
    <w:p>
      <w:pPr/>
      <w:r>
        <w:t xml:space="preserve">The reported </w:t>
      </w:r>
      <w:r>
        <w:rPr>
          <w:b/>
        </w:rPr>
        <w:t>common reliable procedure budget</w:t>
      </w:r>
      <w: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t xml:space="preserve">Two sensitivity policies are also fixed. The lenient policy uses mean </w:t>
      </w:r>
      <w:r>
        <w:t>τ</w:t>
      </w:r>
      <w:r>
        <w:rPr>
          <w:vertAlign w:val="subscript"/>
        </w:rPr>
        <w:t>b</w:t>
      </w:r>
      <w:r>
        <w:t xml:space="preserve"> 0.85, stochastic lower bound 0.80, and deterministic lower bound 0.75. The strict policy uses 0.95, 0.90, and 0.85. These policies assess threshold dependence; they are not selected to obtain a favorable budget.</w:t>
      </w:r>
    </w:p>
    <w:p>
      <w:pPr>
        <w:pStyle w:val="Heading2"/>
      </w:pPr>
      <w:r>
        <w:t>4.8 Analysis history</w:t>
      </w:r>
    </w:p>
    <w:p>
      <w:pPr/>
      <w:r>
        <w:t>This study had no external registration. A pilot inspected the 2025 open-submission outcomes. The formal protocol and thresholds were committed on 24 August 2026 before the final two-panel rerun. On 26 August, inspection of the formal output revealed that the original aggregation code incorrectly assumed monotone pass/fail paths; the common-budget rule was corrected to test each exact budget across all required cells. The harmonized bootstrap, raw-deviation band, standardized max-t bands, and coupling sensitivity were added after review and are explicitly post hoc robustness analyses. This chronology separates the protocol-defined thresholds from later corrections and post-protocol analyses added during review.</w:t>
      </w:r>
    </w:p>
    <w:p>
      <w:pPr>
        <w:pStyle w:val="Heading1"/>
      </w:pPr>
      <w:r>
        <w:t>5 Results</w:t>
      </w:r>
    </w:p>
    <w:p>
      <w:pPr>
        <w:pStyle w:val="Heading2"/>
      </w:pPr>
      <w:r>
        <w:t>5.1 RQ1: Later cohorts had higher mean solve rates, but entropy changed differently</w:t>
      </w:r>
    </w:p>
    <w:p>
      <w:pPr/>
      <w: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t xml:space="preserve">In the standardized Bash-only panel, mean solve rate increased by 0.158 (0.125 to 0.175), while entropy decreased by 0.292 (-0.332 to -0.203). The later standardized systems solved more tasks on average, but a larger share of tasks became weakly discriminative or nearly saturated. The </w:t>
      </w:r>
      <w:r>
        <w:t>τ</w:t>
      </w:r>
      <w:r>
        <w:rPr>
          <w:vertAlign w:val="subscript"/>
        </w:rPr>
        <w:t>b</w:t>
      </w:r>
      <w:r>
        <w:t xml:space="preserve">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 xml:space="preserve">Task-difficulty </w:t>
            </w:r>
            <w:r>
              <w:rPr>
                <w:rFonts w:ascii="Calibri" w:hAnsi="Calibri"/>
                <w:b/>
                <w:color w:val="20262E"/>
                <w:sz w:val="17"/>
              </w:rPr>
              <w:t>τ</w:t>
            </w:r>
            <w:r>
              <w:rPr>
                <w:rFonts w:ascii="Calibri" w:hAnsi="Calibri"/>
                <w:b/>
                <w:color w:val="20262E"/>
                <w:sz w:val="17"/>
                <w:vertAlign w:val="subscript"/>
              </w:rPr>
              <w:t>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028087"/>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retained </w:t>
      </w:r>
      <w:r>
        <w:t>τ</w:t>
      </w:r>
      <w:r>
        <w:rPr>
          <w:vertAlign w:val="subscript"/>
        </w:rPr>
        <w:t>b</w:t>
      </w:r>
      <w:r>
        <w:t>=0.791 in the open panel and 0.713 in the standardized panel. The incomplete stability makes earlier-period task selection a non-trivial transfer problem.</w:t>
      </w:r>
    </w:p>
    <w:p>
      <w:pPr>
        <w:pStyle w:val="Heading2"/>
      </w:pPr>
      <w:r>
        <w:t>5.2 RQ2: In-panel fidelity does not imply later-cohort reliability</w:t>
      </w:r>
    </w:p>
    <w:p>
      <w:pPr/>
      <w: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pStyle w:val="Caption"/>
      </w:pPr>
      <w:r>
        <w:rPr>
          <w:b/>
        </w:rPr>
        <w:t>Fig. 2 (a) Held-out Kendall’s τ_b by task budget and scope in the open-submission panel.</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4892040" cy="5797973"/>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3"/>
                    <a:stretch>
                      <a:fillRect/>
                    </a:stretch>
                  </pic:blipFill>
                  <pic:spPr>
                    <a:xfrm>
                      <a:off x="0" y="0"/>
                      <a:ext cx="4892040" cy="5797973"/>
                    </a:xfrm>
                    <a:prstGeom prst="rect"/>
                  </pic:spPr>
                </pic:pic>
              </a:graphicData>
            </a:graphic>
          </wp:inline>
        </w:drawing>
      </w:r>
    </w:p>
    <w:p>
      <w:pPr>
        <w:pStyle w:val="Caption"/>
      </w:pPr>
      <w:r>
        <w:rPr>
          <w:b/>
        </w:rPr>
        <w:t>Fig. 2 (b) Held-out Kendall’s τ_b by task budget and scope in the standardized Bash-only panel</w:t>
      </w:r>
    </w:p>
    <w:p>
      <w:pPr>
        <w:spacing w:before="40" w:after="160"/>
        <w:jc w:val="center"/>
      </w:pPr>
      <w:r>
        <w:drawing>
          <wp:inline xmlns:a="http://schemas.openxmlformats.org/drawingml/2006/main" xmlns:pic="http://schemas.openxmlformats.org/drawingml/2006/picture">
            <wp:extent cx="4892040" cy="5797973"/>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4"/>
                    <a:stretch>
                      <a:fillRect/>
                    </a:stretch>
                  </pic:blipFill>
                  <pic:spPr>
                    <a:xfrm>
                      <a:off x="0" y="0"/>
                      <a:ext cx="4892040" cy="5797973"/>
                    </a:xfrm>
                    <a:prstGeom prst="rect"/>
                  </pic:spPr>
                </pic:pic>
              </a:graphicData>
            </a:graphic>
          </wp:inline>
        </w:drawing>
      </w:r>
    </w:p>
    <w:p>
      <w:pPr>
        <w:pStyle w:val="Caption"/>
        <w:pageBreakBefore/>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 xml:space="preserve">Dependence sensitivity changes the curves further. In the standardized panel, repository-stratified random sampling passes at 450 tasks with all systems (mean </w:t>
      </w:r>
      <w:r>
        <w:t>τ</w:t>
      </w:r>
      <w:r>
        <w:rPr>
          <w:vertAlign w:val="subscript"/>
        </w:rPr>
        <w:t>b</w:t>
      </w:r>
      <w:r>
        <w:t xml:space="preserve">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validation panel.</w:t>
      </w:r>
    </w:p>
    <w:p>
      <w:pPr>
        <w:pStyle w:val="Heading2"/>
      </w:pPr>
      <w:r>
        <w:t>5.3 RQ3 under the protocol-defined pointwise policy</w:t>
      </w:r>
    </w:p>
    <w:p>
      <w:pPr/>
      <w: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rPr>
        <w:t>Fig. 3 Number of panel-scope cells passing the primary policy at each exact budget. Gold outlines identify the first 4/4 budget</w:t>
      </w:r>
    </w:p>
    <w:p>
      <w:pPr>
        <w:spacing w:before="40" w:after="160"/>
        <w:jc w:val="center"/>
      </w:pPr>
      <w: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5"/>
                    <a:stretch>
                      <a:fillRect/>
                    </a:stretch>
                  </pic:blipFill>
                  <pic:spPr>
                    <a:xfrm>
                      <a:off x="0" y="0"/>
                      <a:ext cx="5806440" cy="1660740"/>
                    </a:xfrm>
                    <a:prstGeom prst="rect"/>
                  </pic:spPr>
                </pic:pic>
              </a:graphicData>
            </a:graphic>
          </wp:inline>
        </w:drawing>
      </w:r>
    </w:p>
    <w:p>
      <w:pPr/>
      <w:r>
        <w:t xml:space="preserve">The entropy result deserves closer inspection. In the standardized cluster- latest scope, entropy passes at 150, 200, 250, and 300 tasks. At 300 tasks, </w:t>
      </w:r>
      <w:r>
        <w:t>τ</w:t>
      </w:r>
      <w:r>
        <w:rPr>
          <w:vertAlign w:val="subscript"/>
        </w:rPr>
        <w:t>b</w:t>
      </w:r>
      <w:r>
        <w:t xml:space="preserve"> is 0.976 and the cluster-bootstrap 2.5th percentile is 0.882. It then fails at 400, 450, and 475 tasks. At 400 tasks, </w:t>
      </w:r>
      <w:r>
        <w:t>τ</w:t>
      </w:r>
      <w:r>
        <w:rPr>
          <w:vertAlign w:val="subscript"/>
        </w:rPr>
        <w:t>b</w:t>
      </w:r>
      <w:r>
        <w:t xml:space="preserve">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Protocol-defined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Pointwise answer to RQ3.</w:t>
      </w:r>
      <w:r>
        <w:t xml:space="preserve"> Under the protocol-defined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2"/>
      </w:pPr>
      <w:r>
        <w:t>5.5 Harmonized and curve-wise uncertainty</w:t>
      </w:r>
    </w:p>
    <w:p>
      <w:pPr/>
      <w:r>
        <w:t>The harmonized bootstrap gives the same pointwise procedure budgets as Table 5, including 475 tasks for the temporal core set (Table 7). The unstandardized raw-deviation band forces every procedure to 500 tasks, but the budget-standardized cell-wise and joint max-t bands retain 475 for temporal core. Uniform random, repository-stratified random, and entropy remain at 500 under every harmonized definition.</w:t>
      </w:r>
    </w:p>
    <w:p>
      <w:pPr>
        <w:pStyle w:val="Caption"/>
      </w:pPr>
      <w:r>
        <w:rPr>
          <w:b/>
        </w:rPr>
        <w:t>Table 7. Harmonized procedure budgets under pointwise, raw-deviation, and standardized max-t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Table 8 explains the disagreement. At 475 tasks, the temporal-core pointwise lower bound in the standardized all-system cell is 0.947. The raw additive correction reduces it to 0.380 because one correction must absorb large unstandardized deviations elsewhere on the curve. The standardized cell-wise and joint bands are 0.907 and 0.890, both above the common 0.80 threshold. In the standardized cluster-latest cell, the corresponding raw and joint values are 0.066 and 0.951. The raw correction is therefore a deliberately severe stress test and should not be interpreted as the sole defensible conservative specification.</w:t>
      </w:r>
    </w:p>
    <w:p>
      <w:pPr>
        <w:pStyle w:val="Caption"/>
        <w:pageBreakBefore/>
      </w:pPr>
      <w:r>
        <w:rPr>
          <w:b/>
        </w:rPr>
        <w:t>Table 8. Temporal-core lower bounds at 475 tasks under the four uncertainty definitions.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 estimate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q.025</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Cell-wise max-t</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0.916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0.978</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0.981</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0.947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0.380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0.907</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0.890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0.066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0.963</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r>
    </w:tbl>
    <w:p>
      <w:pPr>
        <w:spacing w:before="0" w:after="60"/>
      </w:pPr>
    </w:p>
    <w:p>
      <w:pPr/>
      <w:r>
        <w:t>The raw standardized-all correction is most often driven by the 250-task point (24% of replicates), whereas the raw standardized cluster-latest correction is most often driven by 25 tasks (25%). The joint standardized maximum is dispersed: its most frequent driver is the standardized cluster-latest 50-task point, but only in 7% of replicates. This diagnostic shows why standardization materially changes this diagnostic when budgets have very different variances.</w:t>
      </w:r>
    </w:p>
    <w:p>
      <w:pPr/>
      <w:r>
        <w:t>The replicate-level minimum remains unstable before the positive control. For temporal core, 52% of pooled replicates first pass all four cells at 475 tasks (95% Wilson Monte Carlo interval conditional on the empirical resampling scheme: 51%–53%), and 56% select 475 under the rule requiring all larger candidate budgets to pass (55%–57%). Entropy's persistent-rule probabilities are 24% at 300, 29% at 400, and 45% at 500. Both random methods still require 500 under nested-prefix and independent-by-budget task draws.</w:t>
      </w:r>
    </w:p>
    <w:p>
      <w:pPr>
        <w:pStyle w:val="Caption"/>
      </w:pPr>
      <w:r>
        <w:rPr>
          <w:b/>
        </w:rPr>
        <w:t>Table 9. Five-seed Monte Carlo stability of common budgets and 475-task selection probabilities.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budget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Raw cell-wise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Joint max-t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First-pass 475 probability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Persistent-475 probability range</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11–12%</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5–6%</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11–13%</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w:t>
            </w:r>
          </w:p>
        </w:tc>
      </w:tr>
      <w:tr>
        <w:tc>
          <w:tcPr>
            <w:tcW w:type="dxa" w:w="156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51–52%</w:t>
            </w:r>
          </w:p>
        </w:tc>
        <w:tc>
          <w:tcPr>
            <w:tcW w:type="dxa" w:w="15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55–57%</w:t>
            </w:r>
          </w:p>
        </w:tc>
      </w:tr>
    </w:tbl>
    <w:p>
      <w:pPr>
        <w:spacing w:before="0" w:after="60"/>
      </w:pPr>
    </w:p>
    <w:p>
      <w:pPr/>
      <w:r>
        <w:t>Across the five seeds, every method's pointwise, raw, and joint common budget is invariant (Table 9). For the standardized all-system temporal-core cell at 475 tasks, the seed-specific pointwise lower bound ranges from 0.946 to 0.947 and the joint max-t lower band from 0.843 to 0.911. The range is material but does not cross the 0.80 decision threshold.</w:t>
      </w:r>
    </w:p>
    <w:p>
      <w:pPr/>
      <w:r>
        <w:rPr>
          <w:b/>
        </w:rPr>
        <w:t>Curve-wise answer to RQ3.</w:t>
      </w:r>
      <w:r>
        <w:t xml:space="preserve"> Under the decision-family joint max-t analysis, the common procedure budgets are 500, 500, 500, and 475 tasks. The raw cell-wise sensitivity alone returns 500 for all four because its common unstandardized correction is dominated by high-variance curve regions. The supported reduction is therefore at most 5%, procedure-level, and dependent on the uncertainty construction.</w:t>
      </w:r>
    </w:p>
    <w:p>
      <w:pPr>
        <w:pStyle w:val="Heading2"/>
      </w:pPr>
      <w:r>
        <w:t>5.6 Task identity, fixed selection, and clustering sensitivity</w:t>
      </w:r>
    </w:p>
    <w:p>
      <w:pPr/>
      <w:r>
        <w:t>At 475 tasks, the deterministic scope-trained sets are similar but not equal (Table 10). The standardized temporal-core sets share 457 tasks (Jaccard 0.927), which directly rules out interpreting 475 as one common subset. The all-system-selected fixed-set sensitivity is still more consequential (Table 11): the temporal-core procedure then requires 500 tasks, while entropy passes at 400. Random fixed-set values are omitted because a single draw does not estimate either stochastic selection procedure.</w:t>
      </w:r>
    </w:p>
    <w:p>
      <w:pPr>
        <w:pStyle w:val="Caption"/>
      </w:pPr>
      <w:r>
        <w:rPr>
          <w:b/>
        </w:rPr>
        <w:t>Table 10.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0.996</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0.927</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457</w:t>
            </w:r>
          </w:p>
        </w:tc>
      </w:tr>
    </w:tbl>
    <w:p>
      <w:pPr>
        <w:spacing w:before="0" w:after="60"/>
      </w:pPr>
    </w:p>
    <w:p>
      <w:pPr>
        <w:pStyle w:val="Caption"/>
      </w:pPr>
      <w:r>
        <w:rPr>
          <w:b/>
        </w:rPr>
        <w:t>Table 11. Fixed all-system selection sensitivity for deterministic procedures.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bl>
    <w:p>
      <w:pPr>
        <w:spacing w:before="0" w:after="60"/>
      </w:pPr>
    </w:p>
    <w:p>
      <w:pPr/>
      <w:r>
        <w:t>Online Resource 1 (</w:t>
      </w:r>
      <w:r>
        <w:rPr>
          <w:rFonts w:ascii="Consolas" w:hAnsi="Consolas"/>
          <w:color w:val="1F4D78"/>
          <w:sz w:val="19"/>
        </w:rPr>
        <w:t>Online_Resource_1_secondary_metrics.csv</w:t>
      </w:r>
      <w:r>
        <w:t>; CSV) contains one row for each of the 208 panel-scope-method-budget cells. Its columns identify the panel, scope, procedure, and budget and report tau-b, tie-aware top-k Jaccard, full and reduced top-set sizes, pairwise direction agreement, calibrated score MAE, repository coverage, and random-baseline percentile. This makes cases such as perfect top-k retention despite global-rank failure directly auditable.</w:t>
      </w:r>
    </w:p>
    <w:p>
      <w:pPr/>
      <w: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t>6 Discussion</w:t>
      </w:r>
    </w:p>
    <w:p>
      <w:pPr>
        <w:pStyle w:val="Heading2"/>
      </w:pPr>
      <w:r>
        <w:t>6.1 The result is a limitation, not a selector victory</w:t>
      </w:r>
    </w:p>
    <w:p>
      <w:pPr/>
      <w:r>
        <w:t>The developmental panel can support an attractive 150-task narrative for selected methods. That narrative fails under the standardized time-external validation panel and related-system sensitivity. Even the remaining 475-task temporal-core result depends on retraining the selector within each scope. It survives the budget-standardized joint max-t analysis but not the unstandardized raw band or the fixed-selection test. The strongest supported conclusion is therefore a limitation finding: the available public evidence supports at most a 5% procedure-level reduction, not one deployable 475-task set.</w:t>
      </w:r>
    </w:p>
    <w:p>
      <w:pPr/>
      <w:r>
        <w:t>Entropy remains a useful diagnostic baseline. It is simple, deterministic, and can perform well under a lenient policy. Yet it is not a robust primary-policy solution, and the present study does not claim algorithmic novelty. The temporal-core heuristic likewise does not establish a generally superior selection method: its apparent 5% saving survives standardized joint curve control but disappears when one all-system-trained set is fixed across scopes.</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 xml:space="preserve">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w:t>
      </w:r>
      <w:r>
        <w:t>τ</w:t>
      </w:r>
      <w:r>
        <w:rPr>
          <w:vertAlign w:val="subscript"/>
        </w:rPr>
        <w:t>b</w:t>
      </w:r>
      <w:r>
        <w:t>.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t>Enumeration alone does not address selection induced by scanning many noisy budgets. Curve-wise resampling exposes the distribution of the chosen minimum, and a simultaneous band can adjust the lower bound across the complete scan (Westfall and Young 1993; Hothorn et al. 2008). Such protection is relevant because inference after selecting among observed candidates is generally more demanding than inference for one prespecified target (Berk et al. 2013). Band construction matters: the raw unstandardized correction changes 475 to 500, whereas the joint standardized max-t band retains 475. A robustness analysis should therefore report its family, scaling, and driver budgets rather than treat one curve-wise construction as definitive.</w:t>
      </w:r>
    </w:p>
    <w:p>
      <w:pPr>
        <w:pStyle w:val="Heading2"/>
      </w:pPr>
      <w:r>
        <w:t>6.3 Implications for benchmark maintenance</w:t>
      </w:r>
    </w:p>
    <w:p>
      <w:pPr/>
      <w:r>
        <w:t>We recommend a versioned maintenance cycle.</w:t>
      </w:r>
    </w:p>
    <w:p>
      <w:pPr>
        <w:spacing w:after="100"/>
        <w:ind w:left="403" w:hanging="288"/>
      </w:pPr>
      <w:r>
        <w:t xml:space="preserve">1. </w:t>
      </w:r>
      <w:r>
        <w:t>Freeze source commits, task identifiers, outcome matrices, and metadata.</w:t>
      </w:r>
    </w:p>
    <w:p>
      <w:pPr>
        <w:spacing w:after="100"/>
        <w:ind w:left="403" w:hanging="288"/>
      </w:pPr>
      <w:r>
        <w:t xml:space="preserve">2. </w:t>
      </w:r>
      <w:r>
        <w:t>Select candidate task sets only from an earlier system cohort.</w:t>
      </w:r>
    </w:p>
    <w:p>
      <w:pPr>
        <w:spacing w:after="100"/>
        <w:ind w:left="403" w:hanging="288"/>
      </w:pPr>
      <w:r>
        <w:t xml:space="preserve">3. </w:t>
      </w:r>
      <w:r>
        <w:t>Validate on later systems in each execution environment separately.</w:t>
      </w:r>
    </w:p>
    <w:p>
      <w:pPr>
        <w:spacing w:after="100"/>
        <w:ind w:left="403" w:hanging="288"/>
      </w:pPr>
      <w:r>
        <w:t xml:space="preserve">4. </w:t>
      </w:r>
      <w:r>
        <w:t>Add dependence-aware scopes for agent families, providers, or shared scaffolds.</w:t>
      </w:r>
    </w:p>
    <w:p>
      <w:pPr>
        <w:spacing w:after="100"/>
        <w:ind w:left="403" w:hanging="288"/>
      </w:pPr>
      <w:r>
        <w:t xml:space="preserve">5. </w:t>
      </w:r>
      <w:r>
        <w:t>Distinguish a common procedure budget from a fixed task set; report task identity overlap and, when deployment requires one set, test it directly.</w:t>
      </w:r>
    </w:p>
    <w:p>
      <w:pPr>
        <w:spacing w:after="100"/>
        <w:ind w:left="403" w:hanging="288"/>
      </w:pPr>
      <w:r>
        <w:t xml:space="preserve">6. </w:t>
      </w:r>
      <w:r>
        <w:t>Evaluate exact budgets with curve-wise uncertainty and a full-benchmark positive control.</w:t>
      </w:r>
    </w:p>
    <w:p>
      <w:pPr>
        <w:spacing w:after="100"/>
        <w:ind w:left="403" w:hanging="288"/>
      </w:pPr>
      <w:r>
        <w:t xml:space="preserve">7. </w:t>
      </w:r>
      <w:r>
        <w:t>Re-run the protocol when the system population, harness, or benchmark materially changes.</w:t>
      </w:r>
    </w:p>
    <w:p>
      <w:pPr/>
      <w:r>
        <w:t>This cycle parallels calls to re-evaluate empirical configurations as tools and benchmarks evolve (Golmohammadi et al. 2026) and to document dataset lineage throughout collection, maintenance, and use (Paullada et al. 2021). Versioned software, explicit manifests, and automated tests also follow established guidance for reliable scientific computing (Wilson et al. 2014). The cycle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More generally, a leaderboard's performance score need not capture operational attributes that matter to users (Ethayarajh and Jurafsky 2020). Removing 5% or 50% of tasks therefore need not reduce total cost by the same proportion. A deployment decision requires a separate cost model with observed per-task and fixed costs.</w:t>
      </w:r>
    </w:p>
    <w:p>
      <w:pPr>
        <w:pStyle w:val="Heading2"/>
      </w:pPr>
      <w:r>
        <w:t>6.5 Relevance after SWE-bench Verified became unsuitable for frontier evaluation</w:t>
      </w:r>
    </w:p>
    <w:p>
      <w:pPr/>
      <w: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 xml:space="preserve">The primary construct is preservation of a full-benchmark ranking, not real-world software engineering ability. If the full benchmark contains flawed, contaminated, or unrepresentative tasks, high subset fidelity reproduces those limitations. Recent audits make this threat concrete (Aleithan et al. 2024; OpenAI 2026; Yu et al. 2025). Kendall’s </w:t>
      </w:r>
      <w:r>
        <w:t>τ</w:t>
      </w:r>
      <w:r>
        <w:rPr>
          <w:vertAlign w:val="subscript"/>
        </w:rPr>
        <w:t>b</w:t>
      </w:r>
      <w:r>
        <w:t xml:space="preserve"> captures global ordering with ties, but a user may care more about a specific decision such as top-5 membership. Our inclusive tie-aware Jaccard removes arbitrary name-based tie breaking, but the top set can exceed k. We report set sizes and pairwise diagnostics; the decision remains </w:t>
      </w:r>
      <w:r>
        <w:t>τ</w:t>
      </w:r>
      <w:r>
        <w:rPr>
          <w:vertAlign w:val="subscript"/>
        </w:rPr>
        <w:t>b</w:t>
      </w:r>
      <w:r>
        <w:t xml:space="preserve"> based.</w:t>
      </w:r>
    </w:p>
    <w:p>
      <w:pPr/>
      <w:r>
        <w:t>The public score is a single binary-outcome aggregate. It does not represent patch quality, maintainability, efficiency, or repeated-run reliability. This gap between a leaderboard's measured attribute and broader user utility is a known construct-validity risk (Ethayarajh and Jurafsky 2020; Raji et al. 2021).</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t>Random baselines use finite repetitions and bootstrap intervals use finite resamples. The chosen counts (10,000 pooled curve replicates from five seeds; 500 task draws; 500 two-way, 1,000 cluster, and 2,000 repository resamples) balance stability and runtime. With only seven standardized provider clusters, percentile support is discrete, a setting in which cluster-bootstrap behavior warrants particular caution (Cameron et al. 2008). Across five seeds the 1,000-replicate lower bound varies by as much as 0.256 at some low-budget cells. The 475-task temporal-core cluster-latest lower bound is 1.0 under all tested seeds at both 1,000 and 5,000 repetitions, while the harmonized standardized all-system temporal-core pointwise lower bound at 475 varies only from 0.946 to 0.947. Its joint max-t lower band varies from 0.843 to 0.911. These are empirical sensitivity bounds, not exact confidence limits.</w:t>
      </w:r>
    </w:p>
    <w:p>
      <w:pPr/>
      <w:r>
        <w:t>The Wilson intervals quantify only Monte Carlo error conditional on the empirical resampling scheme. They do not include uncertainty from panel selection, cluster definition, or a broader model population.</w:t>
      </w:r>
    </w:p>
    <w:p>
      <w:pPr/>
      <w:r>
        <w:t xml:space="preserve">The thresholds are normative reliability policies rather than estimates of a universal acceptable </w:t>
      </w:r>
      <w:r>
        <w:t>τ</w:t>
      </w:r>
      <w:r>
        <w:rPr>
          <w:vertAlign w:val="subscript"/>
        </w:rPr>
        <w:t>b</w:t>
      </w:r>
      <w:r>
        <w:t>. We expose lenient and strict policies to show how the conclusion depends on that choice.</w:t>
      </w:r>
    </w:p>
    <w:p>
      <w:pPr/>
      <w:r>
        <w:t>The original intervals vary across uncertainty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 The harmonized analysis is post hoc. Its raw band is unstandardized and cell-wise, while the max-t analysis uses budget-specific bootstrap standard deviations and controls the four-cell decision family. Neither construction establishes population coverage for the self-selected leaderboard.</w:t>
      </w:r>
    </w:p>
    <w:p>
      <w:pPr>
        <w:pStyle w:val="Heading2"/>
      </w:pPr>
      <w:r>
        <w:t>7.3 Conclusion validity</w:t>
      </w:r>
    </w:p>
    <w:p>
      <w:pPr/>
      <w: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r>
        <w:t>Scanning 13 budgets creates selection pressure. The original intervals are pointwise and the minimum passing budget can be unstable; curve-wise resampling, explicit raw and standardized simultaneous bands, driver diagnostics, and the persistent-rule distribution address but do not eliminate this issue (Berk et al. 2013; Hothorn et al. 2008). A future study should validate the chosen budget on an additional time window.</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 and prominent benchmarks should not be treated as universal proxies for broader capability (Raji et al. 2021).</w:t>
      </w:r>
    </w:p>
    <w:p>
      <w:pPr/>
      <w:r>
        <w:t>SWE-bench Verified's current unsuitability for frontier evaluation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t>8 Reproducibility</w:t>
      </w:r>
    </w:p>
    <w:p>
      <w:pPr/>
      <w: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 complete secondary-metric Online Resource, curve-band drivers, random-budget coupling sensitivity, analysis history, and an HTML diagnostic report. Tables 3–11 are regenerated from the machine-readable artifact and checked in continuous integration. Version control, automated testing, and machine-executable regeneration follow established scientific-computing and empirical-reporting guidance (Wilson et al. 2014; Ralph 2021).</w:t>
      </w:r>
    </w:p>
    <w:p>
      <w:pPr/>
      <w:r>
        <w:t xml:space="preserve">The authoritative GitHub Actions execution completed successfully on 26 August 2026 (run 32970788181; workflow duration 23 min 38 s) from experiment commit </w:t>
      </w:r>
      <w:r>
        <w:rPr>
          <w:rFonts w:ascii="Consolas" w:hAnsi="Consolas"/>
          <w:color w:val="1F4D78"/>
          <w:sz w:val="19"/>
        </w:rPr>
        <w:t>4bcbd4a</w:t>
      </w:r>
      <w:r>
        <w:t>. Its primary, harmonized, diagnostic, stability, coupling, and Online Resource CSVs match the local formal execution byte for byte, and the manuscript table consistency check passes against the downloaded artifact. Online Resource 2 records the full experiment commit, artifact SHA-256 digest, workflow URL, file inventory, and verification commands.</w:t>
      </w:r>
    </w:p>
    <w:p>
      <w:pPr/>
      <w:r>
        <w:t xml:space="preserve">Twenty-one unit and integration tests cover metric boundaries, tie-aware top-k sets, exact subset sizes, source parsing, cluster handling, decision thresholds, and the non-monotone common-budget regression, nested random paths, and joint four-cell curve resampling. The artifact contains 208 unique panel-scope-method-budget rows, no duplicate cells, and no missing primary rank metrics. The 500-task validator requires all 16 combinations of two panels, two scopes, and four methods; all reproduce </w:t>
      </w:r>
      <w:r>
        <w:t>τ</w:t>
      </w:r>
      <w:r>
        <w:rPr>
          <w:vertAlign w:val="subscript"/>
        </w:rPr>
        <w:t>b</w:t>
      </w:r>
      <w:r>
        <w:t>=1, top-k Jaccard=1, and zero calibrated score error.</w:t>
      </w:r>
    </w:p>
    <w:p>
      <w:pPr/>
      <w:r>
        <w:t>The upstream binary outcome matrices are not redistributed. The source manifest records immutable URLs and commits so a reproducer can recollect them. This choice respects upstream data ownership while retaining an auditable chain from source to result. The separation between scholarly citations and exact version identifiers follows the principles that data and software should be cited as research products while manifests identify the precise materials used (Data Citation Synthesis Group 2014; Smith et al. 2016).</w:t>
      </w:r>
    </w:p>
    <w:p>
      <w:pPr>
        <w:pStyle w:val="Heading2"/>
      </w:pPr>
      <w:r>
        <w:t>8.1 Data availability</w:t>
      </w:r>
    </w:p>
    <w:p>
      <w:pPr/>
      <w:r>
        <w:t xml:space="preserve">The study uses public SWE-bench Verified identifiers, outcome files, and leaderboard metadata pinned by commit and URL in </w:t>
      </w:r>
      <w:r>
        <w:rPr>
          <w:rFonts w:ascii="Consolas" w:hAnsi="Consolas"/>
          <w:color w:val="1F4D78"/>
          <w:sz w:val="19"/>
        </w:rPr>
        <w:t>source_manifest.json</w:t>
      </w:r>
      <w:r>
        <w:t xml:space="preserve"> (Jimenez et al. 2024; OpenAI 2024; SWE-bench Team 2026a, 2026b). The upstream outcome matrices are recollected by the scripts and are not redistributed. The generated aggregate and sensitivity tables contain no personal or private data. A public immutable archive and persistent DOI remain required before journal submission; that DOI will be used as the final data and software citation rather than replacing the exact-version manifest.</w:t>
      </w:r>
    </w:p>
    <w:p>
      <w:pPr>
        <w:pStyle w:val="Heading2"/>
      </w:pPr>
      <w:r>
        <w:t>8.2 Code availability</w:t>
      </w:r>
    </w:p>
    <w:p>
      <w:pPr/>
      <w:r>
        <w:t xml:space="preserve">The implementation is version controlled at </w:t>
      </w:r>
      <w:r>
        <w:rPr>
          <w:color w:val="2E74B5"/>
          <w:u w:val="single"/>
        </w:rPr>
        <w:t>https://github.com/coloursophia/coding-agent-benchmark-maintenance.</w:t>
      </w:r>
      <w:r>
        <w:t xml:space="preserve"> The replication bundle records the exact commit, workflow run, artifact checksum, configuration, deterministic seed rules, exclusions, cluster mapping, and end-to-end command. A tagged public release is required before submission and will be cited as a versioned software release in accordance with Smith et al. (2016).</w:t>
      </w:r>
    </w:p>
    <w:p>
      <w:pPr>
        <w:pStyle w:val="Heading2"/>
      </w:pPr>
      <w:r>
        <w:t>8.3 Use of generative AI</w:t>
      </w:r>
    </w:p>
    <w:p>
      <w:pPr/>
      <w:r>
        <w:t>OpenAI Codex assisted with implementing analysis code, checking calculations, and drafting and copyediting the manuscript. The human authors are responsible for verifying the code, results, citations, claims, and final text; the system is not an author.</w:t>
      </w:r>
    </w:p>
    <w:p>
      <w:pPr>
        <w:pStyle w:val="Heading2"/>
      </w:pPr>
      <w:r>
        <w:t>8.4 Ethics</w:t>
      </w:r>
    </w:p>
    <w:p>
      <w:pPr/>
      <w:r>
        <w:t>Ethics approval and participant consent are not applicable because the study analyzes public secondary benchmark artifacts and does not recruit or intervene with human participants.</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standardized four-cell joint max-t band, the same 500/500/500/475 budgets remain. An unstandardized raw-deviation band instead forces all four to 500, demonstrating that the scaling and family of the band are part of the conclusion. Fixed selection and alternative cluster definitions further showed that neither task identity nor threshold crossing is invariant to the evaluation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t>References</w:t>
      </w:r>
    </w:p>
    <w:p>
      <w:pPr>
        <w:pStyle w:val="References"/>
      </w:pPr>
      <w:r>
        <w:t xml:space="preserve">Aleithan R, Xue H, Mohajer MM, Nnorom E, Uddin G, Wang S (2024) SWE-Bench+: enhanced coding benchmark for LLMs. arXiv:2410.06992. </w:t>
      </w:r>
      <w:r>
        <w:rPr>
          <w:color w:val="2E74B5"/>
          <w:u w:val="single"/>
        </w:rPr>
        <w:t>https://doi.org/10.48550/arXiv.2410.06992</w:t>
      </w:r>
    </w:p>
    <w:p>
      <w:pPr>
        <w:pStyle w:val="References"/>
      </w:pPr>
      <w:r>
        <w:t xml:space="preserve">Baltes S, Ralph P (2022) Sampling in software engineering research: a critical review and guidelines. Empir Softw Eng 27:94. </w:t>
      </w:r>
      <w:r>
        <w:rPr>
          <w:color w:val="2E74B5"/>
          <w:u w:val="single"/>
        </w:rPr>
        <w:t>https://doi.org/10.1007/s10664-021-10072-8</w:t>
      </w:r>
    </w:p>
    <w:p>
      <w:pPr>
        <w:pStyle w:val="References"/>
      </w:pPr>
      <w:r>
        <w:t xml:space="preserve">Berk R, Brown L, Buja A, Zhang K, Zhao L (2013) Valid post-selection inference. Ann Stat 41(2):802–837. </w:t>
      </w:r>
      <w:r>
        <w:rPr>
          <w:color w:val="2E74B5"/>
          <w:u w:val="single"/>
        </w:rPr>
        <w:t>https://doi.org/10.1214/12-AOS1077</w:t>
      </w:r>
    </w:p>
    <w:p>
      <w:pPr>
        <w:pStyle w:val="References"/>
      </w:pPr>
      <w:r>
        <w:t xml:space="preserve">Bouthillier X, Delaunay P, Bronzi M, Trofimov A, Nichyporuk B, Szeto J, Mohammadi Sepahvand N, Raff E, Madan K, Voleti V, Ebrahimi Kahou S, Michalski V, Serdyuk D, Arbel T, Pal C, Varoquaux G, Vincent P (2021) Accounting for variance in machine learning benchmarks. Proc Mach Learn Syst 3. </w:t>
      </w:r>
      <w:r>
        <w:rPr>
          <w:color w:val="2E74B5"/>
          <w:u w:val="single"/>
        </w:rPr>
        <w:t>https://proceedings.mlsys.org/paper/2021/hash/0184b0cd3cfb185989f858a1d9f5c1eb-Abstract.html</w:t>
      </w:r>
    </w:p>
    <w:p>
      <w:pPr>
        <w:pStyle w:val="References"/>
      </w:pPr>
      <w:r>
        <w:t xml:space="preserve">Bowman SR, Dahl GE (2021) What will it take to fix benchmarking in natural language understanding? In: Proceedings of NAACL-HLT 2021, pp 4843–4855. </w:t>
      </w:r>
      <w:r>
        <w:rPr>
          <w:color w:val="2E74B5"/>
          <w:u w:val="single"/>
        </w:rPr>
        <w:t>https://doi.org/10.18653/v1/2021.naacl-main.385</w:t>
      </w:r>
    </w:p>
    <w:p>
      <w:pPr>
        <w:pStyle w:val="References"/>
      </w:pPr>
      <w:r>
        <w:t xml:space="preserve">Cameron AC, Gelbach JB, Miller DL (2008) Bootstrap-based improvements for inference with clustered errors. Rev Econ Stat 90(3):414–427. </w:t>
      </w:r>
      <w:r>
        <w:rPr>
          <w:color w:val="2E74B5"/>
          <w:u w:val="single"/>
        </w:rPr>
        <w:t>https://doi.org/10.1162/rest.90.3.414</w:t>
      </w:r>
    </w:p>
    <w:p>
      <w:pPr>
        <w:pStyle w:val="References"/>
      </w:pPr>
      <w:r>
        <w:t xml:space="preserve">Data Citation Synthesis Group (2014) Joint declaration of data citation principles. FORCE11, San Diego. </w:t>
      </w:r>
      <w:r>
        <w:rPr>
          <w:color w:val="2E74B5"/>
          <w:u w:val="single"/>
        </w:rPr>
        <w:t>https://doi.org/10.25490/a97f-egyk</w:t>
      </w:r>
    </w:p>
    <w:p>
      <w:pPr>
        <w:pStyle w:val="References"/>
      </w:pPr>
      <w:r>
        <w:t xml:space="preserve">Davison AC, Hinkley DV (1997) Bootstrap methods and their application. Cambridge University Press, Cambridge. </w:t>
      </w:r>
      <w:r>
        <w:rPr>
          <w:color w:val="2E74B5"/>
          <w:u w:val="single"/>
        </w:rPr>
        <w:t>https://doi.org/10.1017/CBO9780511802843</w:t>
      </w:r>
    </w:p>
    <w:p>
      <w:pPr>
        <w:pStyle w:val="References"/>
      </w:pPr>
      <w:r>
        <w:t xml:space="preserve">Dehghani M, Tay Y, Gritsenko AA, Zhao Z, Houlsby N, Diaz F, Metzler D, Vinyals O (2021) The benchmark lottery. arXiv:2107.07002. </w:t>
      </w:r>
      <w:r>
        <w:rPr>
          <w:color w:val="2E74B5"/>
          <w:u w:val="single"/>
        </w:rPr>
        <w:t>https://doi.org/10.48550/arXiv.2107.07002</w:t>
      </w:r>
    </w:p>
    <w:p>
      <w:pPr>
        <w:pStyle w:val="References"/>
      </w:pPr>
      <w:r>
        <w:t xml:space="preserve">Destefanis G, Yousefi L, Shepperd M, Tucker A, Swift S, Counsell S, Arzoky M (2026) An audit of machine learning experiments on software defect prediction. Empir Softw Eng 31:83. </w:t>
      </w:r>
      <w:r>
        <w:rPr>
          <w:color w:val="2E74B5"/>
          <w:u w:val="single"/>
        </w:rPr>
        <w:t>https://doi.org/10.1007/s10664-025-10797-w</w:t>
      </w:r>
    </w:p>
    <w:p>
      <w:pPr>
        <w:pStyle w:val="References"/>
      </w:pPr>
      <w:r>
        <w:t xml:space="preserve">Dror R, Shlomov S, Reichart R (2019) Deep dominance: how to properly compare deep neural models. In: Proceedings of the 57th Annual Meeting of the Association for Computational Linguistics, pp 2773–2785. </w:t>
      </w:r>
      <w:r>
        <w:rPr>
          <w:color w:val="2E74B5"/>
          <w:u w:val="single"/>
        </w:rPr>
        <w:t>https://doi.org/10.18653/v1/P19-1266</w:t>
      </w:r>
    </w:p>
    <w:p>
      <w:pPr>
        <w:pStyle w:val="References"/>
      </w:pPr>
      <w:r>
        <w:t xml:space="preserve">Efron B, Tibshirani R (1985) The bootstrap method for assessing statistical accuracy. Behaviormetrika 12:1–35. </w:t>
      </w:r>
      <w:r>
        <w:rPr>
          <w:color w:val="2E74B5"/>
          <w:u w:val="single"/>
        </w:rPr>
        <w:t>https://doi.org/10.2333/bhmk.12.17_1</w:t>
      </w:r>
    </w:p>
    <w:p>
      <w:pPr>
        <w:pStyle w:val="References"/>
      </w:pPr>
      <w:r>
        <w:t xml:space="preserve">Elbaum S, Malishevsky AG, Rothermel G (2002) Test case prioritization: a family of empirical studies. IEEE Trans Softw Eng 28(2):159–182. </w:t>
      </w:r>
      <w:r>
        <w:rPr>
          <w:color w:val="2E74B5"/>
          <w:u w:val="single"/>
        </w:rPr>
        <w:t>https://doi.org/10.1109/32.988497</w:t>
      </w:r>
    </w:p>
    <w:p>
      <w:pPr>
        <w:pStyle w:val="References"/>
      </w:pPr>
      <w:r>
        <w:t xml:space="preserve">Ethayarajh K, Jurafsky D (2020) Utility is in the eye of the user: a critique of NLP leaderboards. In: Proceedings of EMNLP 2020, pp 4846–4853. </w:t>
      </w:r>
      <w:r>
        <w:rPr>
          <w:color w:val="2E74B5"/>
          <w:u w:val="single"/>
        </w:rPr>
        <w:t>https://doi.org/10.18653/v1/2020.emnlp-main.393</w:t>
      </w:r>
    </w:p>
    <w:p>
      <w:pPr>
        <w:pStyle w:val="References"/>
      </w:pPr>
      <w:r>
        <w:t xml:space="preserve">Field CA, Welsh AH (2007) Bootstrapping clustered data. J R Stat Soc Series B Stat Methodol 69(3):369–390. </w:t>
      </w:r>
      <w:r>
        <w:rPr>
          <w:color w:val="2E74B5"/>
          <w:u w:val="single"/>
        </w:rPr>
        <w:t>https://doi.org/10.1111/j.1467-9868.2007.00593.x</w:t>
      </w:r>
    </w:p>
    <w:p>
      <w:pPr>
        <w:pStyle w:val="References"/>
      </w:pPr>
      <w:r>
        <w:t xml:space="preserve">Gama J, Žliobaitė I, Bifet A, Pechenizkiy M, Bouchachia A (2014) A survey on concept drift adaptation. ACM Comput Surv 46(4):44. </w:t>
      </w:r>
      <w:r>
        <w:rPr>
          <w:color w:val="2E74B5"/>
          <w:u w:val="single"/>
        </w:rPr>
        <w:t>https://doi.org/10.1145/2523813</w:t>
      </w:r>
    </w:p>
    <w:p>
      <w:pPr>
        <w:pStyle w:val="References"/>
      </w:pPr>
      <w:r>
        <w:t xml:space="preserve">Golmohammadi A, Zhang M, Arcuri A (2026) Tools and benchmarks evolve: what is their impact on parameter tuning in SBSE experiments? Empir Softw Eng 31:8. </w:t>
      </w:r>
      <w:r>
        <w:rPr>
          <w:color w:val="2E74B5"/>
          <w:u w:val="single"/>
        </w:rPr>
        <w:t>https://doi.org/10.1007/s10664-025-10733-y</w:t>
      </w:r>
    </w:p>
    <w:p>
      <w:pPr>
        <w:pStyle w:val="References"/>
      </w:pPr>
      <w:r>
        <w:t xml:space="preserve">Gusev R, Zaytsev A (2026) Benchmarking on tasks that matter: dataset selection for preserving model rankings. In: Proceedings of the 32nd ACM SIGKDD Conference on Knowledge Discovery and Data Mining. </w:t>
      </w:r>
      <w:r>
        <w:rPr>
          <w:color w:val="2E74B5"/>
          <w:u w:val="single"/>
        </w:rPr>
        <w:t>https://doi.org/10.1145/3770855.3817569</w:t>
      </w:r>
    </w:p>
    <w:p>
      <w:pPr>
        <w:pStyle w:val="References"/>
      </w:pPr>
      <w:r>
        <w:t xml:space="preserve">Harrold MJ, Gupta R, Soffa ML (1993) A methodology for controlling the size of a test suite. ACM Trans Softw Eng Methodol 2(3):270–285. </w:t>
      </w:r>
      <w:r>
        <w:rPr>
          <w:color w:val="2E74B5"/>
          <w:u w:val="single"/>
        </w:rPr>
        <w:t>https://doi.org/10.1145/152388.152391</w:t>
      </w:r>
    </w:p>
    <w:p>
      <w:pPr>
        <w:pStyle w:val="References"/>
      </w:pPr>
      <w:r>
        <w:t xml:space="preserve">Hothorn T, Bretz F, Westfall P (2008) Simultaneous inference in general parametric models. Biom J 50(3):346–363. </w:t>
      </w:r>
      <w:r>
        <w:rPr>
          <w:color w:val="2E74B5"/>
          <w:u w:val="single"/>
        </w:rPr>
        <w:t>https://doi.org/10.1002/bimj.200810425</w:t>
      </w:r>
    </w:p>
    <w:p>
      <w:pPr>
        <w:pStyle w:val="References"/>
      </w:pPr>
      <w:r>
        <w:t xml:space="preserve">Jimenez CE, Yang J, Wettig A, Yao S, Pei K, Press O, Narasimhan K (2024) SWE-bench: can language models resolve real-world GitHub issues? In: International Conference on Learning Representations. </w:t>
      </w:r>
      <w:r>
        <w:rPr>
          <w:color w:val="2E74B5"/>
          <w:u w:val="single"/>
        </w:rPr>
        <w:t>https://openreview.net/forum?id=VTF8yNQM66</w:t>
      </w:r>
    </w:p>
    <w:p>
      <w:pPr>
        <w:pStyle w:val="References"/>
      </w:pPr>
      <w:r>
        <w:t xml:space="preserve">Kaltenecker C, Mühlbauer S, Grebhahn A, Siegmund N, Apel S (2023) Performance evolution of configurable software systems: an empirical study. Empir Softw Eng 28:152. </w:t>
      </w:r>
      <w:r>
        <w:rPr>
          <w:color w:val="2E74B5"/>
          <w:u w:val="single"/>
        </w:rPr>
        <w:t>https://doi.org/10.1007/s10664-023-10338-3</w:t>
      </w:r>
    </w:p>
    <w:p>
      <w:pPr>
        <w:pStyle w:val="References"/>
      </w:pPr>
      <w:r>
        <w:t xml:space="preserve">Kendall MG (1945) The treatment of ties in ranking problems. Biometrika 33(3):239–251. </w:t>
      </w:r>
      <w:r>
        <w:rPr>
          <w:color w:val="2E74B5"/>
          <w:u w:val="single"/>
        </w:rPr>
        <w:t>https://doi.org/10.1093/biomet/33.3.239</w:t>
      </w:r>
    </w:p>
    <w:p>
      <w:pPr>
        <w:pStyle w:val="References"/>
      </w:pPr>
      <w:r>
        <w:t xml:space="preserve">Laaber C, Gall HC, Leitner P (2021) Applying test case prioritization to software microbenchmarks. Empir Softw Eng 26:133. </w:t>
      </w:r>
      <w:r>
        <w:rPr>
          <w:color w:val="2E74B5"/>
          <w:u w:val="single"/>
        </w:rPr>
        <w:t>https://doi.org/10.1007/s10664-021-10037-x</w:t>
      </w:r>
    </w:p>
    <w:p>
      <w:pPr>
        <w:pStyle w:val="References"/>
      </w:pPr>
      <w:r>
        <w:t xml:space="preserve">Martinez M, Franch X (2026) What’s in a benchmark? The case of SWE-Bench in automated program repair. In: Proceedings of ICSE-SEIP 2026, pp 647–658. </w:t>
      </w:r>
      <w:r>
        <w:rPr>
          <w:color w:val="2E74B5"/>
          <w:u w:val="single"/>
        </w:rPr>
        <w:t>https://doi.org/10.1145/3786583.3786904</w:t>
      </w:r>
    </w:p>
    <w:p>
      <w:pPr>
        <w:pStyle w:val="References"/>
      </w:pPr>
      <w:r>
        <w:t xml:space="preserve">OpenAI (2024) Introducing SWE-bench Verified. </w:t>
      </w:r>
      <w:r>
        <w:rPr>
          <w:color w:val="2E74B5"/>
          <w:u w:val="single"/>
        </w:rPr>
        <w:t>https://openai.com/index/introducing-swe-bench-verified/.</w:t>
      </w:r>
      <w:r>
        <w:t xml:space="preserve"> Accessed 26 August 2026</w:t>
      </w:r>
    </w:p>
    <w:p>
      <w:pPr>
        <w:pStyle w:val="References"/>
      </w:pPr>
      <w:r>
        <w:t xml:space="preserve">OpenAI (2026) Why SWE-bench Verified no longer measures frontier coding capabilities. </w:t>
      </w:r>
      <w:r>
        <w:rPr>
          <w:color w:val="2E74B5"/>
          <w:u w:val="single"/>
        </w:rPr>
        <w:t>https://openai.com/index/why-we-no-longer-evaluate-swe-bench-verified/.</w:t>
      </w:r>
      <w:r>
        <w:t xml:space="preserve"> Accessed 27 August 2026</w:t>
      </w:r>
    </w:p>
    <w:p>
      <w:pPr>
        <w:pStyle w:val="References"/>
      </w:pPr>
      <w:r>
        <w:t xml:space="preserve">Paullada A, Raji ID, Bender EM, Denton E, Hanna A (2021) Data and its (dis)contents: a survey of dataset development and use in machine learning research. Patterns 2(11):100336. </w:t>
      </w:r>
      <w:r>
        <w:rPr>
          <w:color w:val="2E74B5"/>
          <w:u w:val="single"/>
        </w:rPr>
        <w:t>https://doi.org/10.1016/j.patter.2021.100336</w:t>
      </w:r>
    </w:p>
    <w:p>
      <w:pPr>
        <w:pStyle w:val="References"/>
      </w:pPr>
      <w:r>
        <w:t xml:space="preserve">Raji ID, Denton E, Bender EM, Hanna A, Paullada A (2021) AI and the everything in the whole wide world benchmark. In: Advances in Neural Information Processing Systems, Datasets and Benchmarks Track 1. </w:t>
      </w:r>
      <w:r>
        <w:rPr>
          <w:color w:val="2E74B5"/>
          <w:u w:val="single"/>
        </w:rPr>
        <w:t>https://datasets-benchmarks-proceedings.neurips.cc/paper/2021/hash/084b6fbb10729ed4da8c3d3f5a3ae7c9-Abstract-round2.html</w:t>
      </w:r>
    </w:p>
    <w:p>
      <w:pPr>
        <w:pStyle w:val="References"/>
      </w:pPr>
      <w:r>
        <w:t xml:space="preserve">Ralph P (2021) ACM SIGSOFT empirical standards released. ACM SIGSOFT Softw Eng Notes 46(1):19. </w:t>
      </w:r>
      <w:r>
        <w:rPr>
          <w:color w:val="2E74B5"/>
          <w:u w:val="single"/>
        </w:rPr>
        <w:t>https://doi.org/10.1145/3437479.3437483</w:t>
      </w:r>
    </w:p>
    <w:p>
      <w:pPr>
        <w:pStyle w:val="References"/>
      </w:pPr>
      <w:r>
        <w:t xml:space="preserve">Smith AM, Katz DS, Niemeyer KE, FORCE11 Software Citation Working Group (2016) Software citation principles. PeerJ Comput Sci 2:e86. </w:t>
      </w:r>
      <w:r>
        <w:rPr>
          <w:color w:val="2E74B5"/>
          <w:u w:val="single"/>
        </w:rPr>
        <w:t>https://doi.org/10.7717/peerj-cs.86</w:t>
      </w:r>
    </w:p>
    <w:p>
      <w:pPr>
        <w:pStyle w:val="References"/>
      </w:pPr>
      <w:r>
        <w:t xml:space="preserve">SWE-bench Team (2026a) SWE-bench experiments repository, commit 1faa91c. GitHub [Software]. </w:t>
      </w:r>
      <w:r>
        <w:rPr>
          <w:color w:val="2E74B5"/>
          <w:u w:val="single"/>
        </w:rPr>
        <w:t>https://github.com/swe-bench/experiments/tree/1faa91cade0562ba62b66c1c99e71f7b72d96f13.</w:t>
      </w:r>
      <w:r>
        <w:t xml:space="preserve"> Accessed 27 August 2026</w:t>
      </w:r>
    </w:p>
    <w:p>
      <w:pPr>
        <w:pStyle w:val="References"/>
      </w:pPr>
      <w:r>
        <w:t xml:space="preserve">SWE-bench Team (2026b) SWE-bench leaderboard website repository, commit f42505b. GitHub [Software]. </w:t>
      </w:r>
      <w:r>
        <w:rPr>
          <w:color w:val="2E74B5"/>
          <w:u w:val="single"/>
        </w:rPr>
        <w:t>https://github.com/swe-bench/swe-bench.github.io/tree/f42505b21a0eb31a9cc1204caafcbe0da6c1a259.</w:t>
      </w:r>
      <w:r>
        <w:t xml:space="preserve"> Accessed 27 August 2026</w:t>
      </w:r>
    </w:p>
    <w:p>
      <w:pPr>
        <w:pStyle w:val="References"/>
      </w:pPr>
      <w:r>
        <w:t xml:space="preserve">Wang S, Wang C, Fu W, Min Y, Feng M, Guan I, Hu X, He C, Wang C, Yang K, Ren X, Huang F, Liu D, Zhang L (2025) Rethinking LLM evaluation: can we evaluate LLMs with 200x less data? arXiv:2510.10457. </w:t>
      </w:r>
      <w:r>
        <w:rPr>
          <w:color w:val="2E74B5"/>
          <w:u w:val="single"/>
        </w:rPr>
        <w:t>https://doi.org/10.48550/arXiv.2510.10457</w:t>
      </w:r>
    </w:p>
    <w:p>
      <w:pPr>
        <w:pStyle w:val="References"/>
      </w:pPr>
      <w:r>
        <w:t>Westfall PH, Young SS (1993) Resampling-based multiple testing: examples and methods for p-value adjustment. Wiley, New York. ISBN 978-0-471-55761-6</w:t>
      </w:r>
    </w:p>
    <w:p>
      <w:pPr>
        <w:pStyle w:val="References"/>
      </w:pPr>
      <w:r>
        <w:t xml:space="preserve">Wilson EB (1927) Probable inference, the law of succession, and statistical inference. J Am Stat Assoc 22(158):209–212. </w:t>
      </w:r>
      <w:r>
        <w:rPr>
          <w:color w:val="2E74B5"/>
          <w:u w:val="single"/>
        </w:rPr>
        <w:t>https://doi.org/10.1080/01621459.1927.10502953</w:t>
      </w:r>
    </w:p>
    <w:p>
      <w:pPr>
        <w:pStyle w:val="References"/>
      </w:pPr>
      <w:r>
        <w:t xml:space="preserve">Wilson G, Aruliah DA, Brown CT, Chue Hong NP, Davis M, Guy RT, Haddock SHD, Huff KD, Mitchell IM, Plumbley MD, Waugh B, White EP, Wilson P (2014) Best practices for scientific computing. PLoS Biol 12(1):e1001745. </w:t>
      </w:r>
      <w:r>
        <w:rPr>
          <w:color w:val="2E74B5"/>
          <w:u w:val="single"/>
        </w:rPr>
        <w:t>https://doi.org/10.1371/journal.pbio.1001745</w:t>
      </w:r>
    </w:p>
    <w:p>
      <w:pPr>
        <w:pStyle w:val="References"/>
      </w:pPr>
      <w:r>
        <w:t xml:space="preserve">Yoo S, Harman M (2012) Regression testing minimization, selection and prioritization: a survey. Softw Test Verif Reliab 22(2):67–120. </w:t>
      </w:r>
      <w:r>
        <w:rPr>
          <w:color w:val="2E74B5"/>
          <w:u w:val="single"/>
        </w:rPr>
        <w:t>https://doi.org/10.1002/stvr.430</w:t>
      </w:r>
    </w:p>
    <w:p>
      <w:pPr>
        <w:pStyle w:val="References"/>
      </w:pPr>
      <w:r>
        <w:t xml:space="preserve">Yu B, Zhu Y, He P, Kang D (2025) UTBoost: rigorous evaluation of coding agents on SWE-Bench. In: Proceedings of the 63rd Annual Meeting of the Association for Computational Linguistics, pp 3762–3774. </w:t>
      </w:r>
      <w:r>
        <w:rPr>
          <w:color w:val="2E74B5"/>
          <w:u w:val="single"/>
        </w:rPr>
        <w:t>https://doi.org/10.18653/v1/2025.acl-long.189</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coding agents; benchmark reduction; leaderboard reliability; SWE-bench Verified; temporal validation; ranking uncertainty</cp:keywords>
  <dc:description>Temporal ranking-reliability study</dc:description>
  <cp:lastModifiedBy/>
  <cp:revision>1</cp:revision>
  <dcterms:created xsi:type="dcterms:W3CDTF">2013-12-23T23:15:00Z</dcterms:created>
  <dcterms:modified xsi:type="dcterms:W3CDTF">2013-12-23T23:15:00Z</dcterms:modified>
  <cp:category/>
</cp:coreProperties>
</file>