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DA595" w14:textId="1E214ED5" w:rsidR="00393D78" w:rsidRDefault="002D249B" w:rsidP="00AC12D0">
      <w:pPr>
        <w:pStyle w:val="Titre1"/>
      </w:pPr>
      <w:r>
        <w:t xml:space="preserve">Milestone </w:t>
      </w:r>
      <w:r w:rsidR="00444B59">
        <w:t>2</w:t>
      </w:r>
    </w:p>
    <w:p w14:paraId="4193F5AC" w14:textId="54000FF5" w:rsidR="002D249B" w:rsidRDefault="002D249B" w:rsidP="00AC12D0">
      <w:pPr>
        <w:pStyle w:val="Titre2"/>
      </w:pPr>
      <w:r>
        <w:t>Project goal</w:t>
      </w:r>
    </w:p>
    <w:p w14:paraId="07EC669A" w14:textId="4DE33527" w:rsidR="00A12817" w:rsidRPr="00A12817" w:rsidRDefault="00A12817" w:rsidP="00A12817">
      <w:r w:rsidRPr="00A12817">
        <w:t xml:space="preserve">We </w:t>
      </w:r>
      <w:r w:rsidRPr="00C13D53">
        <w:t>aim to display how the profile of a dominant ATP player has changed from 1968 to the present. Rather than producing a single all-time ranking, our website reveals which features best characterize elite performance across</w:t>
      </w:r>
      <w:r w:rsidRPr="00A12817">
        <w:t xml:space="preserve"> the various eras of play. The intended audience ranges from casual tennis followers to coaches, equipment engineers, and sports regulators.</w:t>
      </w:r>
    </w:p>
    <w:p w14:paraId="32F1EABC" w14:textId="5A9CFCAA" w:rsidR="00821C29" w:rsidRDefault="00821C29" w:rsidP="00AC12D0">
      <w:pPr>
        <w:pStyle w:val="Titre2"/>
        <w:rPr>
          <w:rFonts w:eastAsia="Times New Roman"/>
        </w:rPr>
      </w:pPr>
      <w:r>
        <w:rPr>
          <w:rFonts w:eastAsia="Times New Roman"/>
        </w:rPr>
        <w:t>Live prototype</w:t>
      </w:r>
    </w:p>
    <w:p w14:paraId="798BBF17" w14:textId="7F57A93B" w:rsidR="00F86B2B" w:rsidRDefault="00821C29" w:rsidP="00AC12D0">
      <w:r>
        <w:t xml:space="preserve">The website with the basic skeleton of the visualizations can be found at: </w:t>
      </w:r>
      <w:hyperlink r:id="rId8" w:history="1">
        <w:r w:rsidRPr="00B769BC">
          <w:rPr>
            <w:rStyle w:val="Lienhypertexte"/>
          </w:rPr>
          <w:t>https://com-480-data-visualization.github.io/nadal-prime/</w:t>
        </w:r>
      </w:hyperlink>
      <w:r>
        <w:t>.</w:t>
      </w:r>
    </w:p>
    <w:p w14:paraId="3B3A35CB" w14:textId="72E1CB02" w:rsidR="006F3587" w:rsidRDefault="00F86B2B" w:rsidP="00077B15">
      <w:pPr>
        <w:pStyle w:val="Titre2"/>
      </w:pPr>
      <w:r>
        <w:t>Core visualization</w:t>
      </w:r>
    </w:p>
    <w:p w14:paraId="10633AF9" w14:textId="0ADD9D22" w:rsidR="006F3587" w:rsidRDefault="006F3587" w:rsidP="006F3587">
      <w:r>
        <w:t xml:space="preserve">The website should work as a scroll-based visual story about how elite ATP player profiles evolved across eras. The user experience starts </w:t>
      </w:r>
      <w:r>
        <w:t xml:space="preserve">with </w:t>
      </w:r>
      <w:r>
        <w:t xml:space="preserve">historical framing </w:t>
      </w:r>
      <w:r w:rsidR="002E43C9">
        <w:t xml:space="preserve">defining tennis eras </w:t>
      </w:r>
      <w:r>
        <w:t>and</w:t>
      </w:r>
      <w:r>
        <w:t xml:space="preserve"> progressively moves to</w:t>
      </w:r>
      <w:r w:rsidR="002E43C9">
        <w:t xml:space="preserve"> more</w:t>
      </w:r>
      <w:r>
        <w:t xml:space="preserve"> focused analysis</w:t>
      </w:r>
      <w:r w:rsidR="002E43C9">
        <w:t xml:space="preserve"> based on specific playstyle features compared across these eras</w:t>
      </w:r>
      <w:r>
        <w:t xml:space="preserve">. </w:t>
      </w:r>
      <w:r w:rsidR="002E43C9">
        <w:t>In the first section called “Defining the Eras”, the user can understand the major events in tennis history that led to important changes in the game, as well as the main actors of these eras</w:t>
      </w:r>
      <w:r w:rsidR="00077B15">
        <w:t xml:space="preserve"> (</w:t>
      </w:r>
      <w:r w:rsidR="00077B15">
        <w:t>see Figure 1</w:t>
      </w:r>
      <w:r w:rsidR="00077B15">
        <w:t>)</w:t>
      </w:r>
      <w:r w:rsidR="002E43C9">
        <w:t>. The second part called “Playstyle Evolution” explains the changes in playstyle across eras</w:t>
      </w:r>
      <w:r w:rsidR="00077B15">
        <w:t xml:space="preserve"> by </w:t>
      </w:r>
      <w:r w:rsidR="00077B15" w:rsidRPr="00A12817">
        <w:t>show</w:t>
      </w:r>
      <w:r w:rsidR="00077B15">
        <w:t>ing</w:t>
      </w:r>
      <w:r w:rsidR="00077B15" w:rsidRPr="00A12817">
        <w:t xml:space="preserve"> relevant play statistics for each era through scatterplots (</w:t>
      </w:r>
      <w:r w:rsidR="00077B15">
        <w:t>see Figure 2</w:t>
      </w:r>
      <w:r w:rsidR="00077B15" w:rsidRPr="00A12817">
        <w:t>) and Sankey diagrams (</w:t>
      </w:r>
      <w:r w:rsidR="00077B15">
        <w:t>see Figure 3</w:t>
      </w:r>
      <w:r w:rsidR="00077B15">
        <w:t>)</w:t>
      </w:r>
      <w:r w:rsidR="002E43C9">
        <w:t xml:space="preserve">. </w:t>
      </w:r>
      <w:r>
        <w:t xml:space="preserve">At </w:t>
      </w:r>
      <w:r w:rsidR="002E43C9">
        <w:t>this</w:t>
      </w:r>
      <w:r>
        <w:t xml:space="preserve"> stage, visuals and text should be synchronized so that users do not just see charts </w:t>
      </w:r>
      <w:r>
        <w:t>changing but</w:t>
      </w:r>
      <w:r>
        <w:t xml:space="preserve"> also understand why those changes happened in tennis history. The central narrative is that dominance is not static: technology, tactics, physical preparation, and game style shift over time, and those shifts are visible in player-level data.  </w:t>
      </w:r>
    </w:p>
    <w:p w14:paraId="49DA14A9" w14:textId="35E6768E" w:rsidR="006F3587" w:rsidRDefault="006F3587" w:rsidP="006F3587">
      <w:r>
        <w:t>The interaction philosophy should be simple and consistent: begin with a global view</w:t>
      </w:r>
      <w:r>
        <w:t xml:space="preserve"> for a feature (</w:t>
      </w:r>
      <w:proofErr w:type="gramStart"/>
      <w:r>
        <w:t>example :</w:t>
      </w:r>
      <w:proofErr w:type="gramEnd"/>
      <w:r>
        <w:t xml:space="preserve"> shot type statistics) and</w:t>
      </w:r>
      <w:r>
        <w:t xml:space="preserve"> then narrow to era-specific highlights. Feature menus should let users switch analytical lenses such as serve, return, shot type, or net play, with each lens providing both a visualization and a historical explanation.</w:t>
      </w:r>
    </w:p>
    <w:p w14:paraId="4E5765B2" w14:textId="77777777" w:rsidR="006F3587" w:rsidRDefault="006F3587" w:rsidP="006F3587"/>
    <w:p w14:paraId="387E0DD2" w14:textId="0202FCF3" w:rsidR="006F3587" w:rsidRDefault="006F3587" w:rsidP="006F3587">
      <w:r>
        <w:t xml:space="preserve">The MVP should already deliver a complete and understandable story, even if visually modest. It should include smooth transitions between major sections, </w:t>
      </w:r>
      <w:r>
        <w:t>two</w:t>
      </w:r>
      <w:r>
        <w:t xml:space="preserve"> fully functional interactive </w:t>
      </w:r>
      <w:r>
        <w:t>charts</w:t>
      </w:r>
      <w:r>
        <w:t xml:space="preserve"> in the playstyle area, synchronized explanatory text, and one feature selector that changes the view between </w:t>
      </w:r>
      <w:r w:rsidR="002E43C9">
        <w:t>some</w:t>
      </w:r>
      <w:r>
        <w:t xml:space="preserve"> predefined feature families.  </w:t>
      </w:r>
    </w:p>
    <w:p w14:paraId="56E5128B" w14:textId="27EE1603" w:rsidR="006F3587" w:rsidRDefault="006F3587" w:rsidP="006F3587">
      <w:r>
        <w:lastRenderedPageBreak/>
        <w:t xml:space="preserve">The interactive chart behavior should </w:t>
      </w:r>
      <w:r w:rsidR="002E43C9">
        <w:t>show</w:t>
      </w:r>
      <w:r>
        <w:t xml:space="preserve"> all players visible at first, then scroll-driven emphasis on the active era while non-active eras are muted. The text panel should </w:t>
      </w:r>
      <w:r>
        <w:t>be updated</w:t>
      </w:r>
      <w:r>
        <w:t xml:space="preserve"> at the same time and explain the key interpretation for that era under the selected feature.  </w:t>
      </w:r>
    </w:p>
    <w:p w14:paraId="2CBC1D37" w14:textId="77777777" w:rsidR="006F3587" w:rsidRDefault="006F3587" w:rsidP="00AC12D0">
      <w:pPr>
        <w:pStyle w:val="Titre2"/>
      </w:pPr>
    </w:p>
    <w:p w14:paraId="10071143" w14:textId="069C141C" w:rsidR="00D110A4" w:rsidRDefault="00D110A4" w:rsidP="00AC12D0">
      <w:pPr>
        <w:pStyle w:val="Titre2"/>
      </w:pPr>
      <w:r>
        <w:t xml:space="preserve">Improvements </w:t>
      </w:r>
      <w:proofErr w:type="gramStart"/>
      <w:r>
        <w:t>on</w:t>
      </w:r>
      <w:proofErr w:type="gramEnd"/>
      <w:r>
        <w:t xml:space="preserve"> </w:t>
      </w:r>
      <w:r w:rsidR="000248C8">
        <w:t>core visualization</w:t>
      </w:r>
    </w:p>
    <w:p w14:paraId="395AC01D" w14:textId="77777777" w:rsidR="0037523D" w:rsidRDefault="0037523D" w:rsidP="0037523D">
      <w:r>
        <w:t xml:space="preserve">To close the narrative, a third part could include full-timeline visualizations that </w:t>
      </w:r>
      <w:proofErr w:type="gramStart"/>
      <w:r>
        <w:t>summarizes</w:t>
      </w:r>
      <w:proofErr w:type="gramEnd"/>
      <w:r>
        <w:t xml:space="preserve"> long-term change across eras. </w:t>
      </w:r>
    </w:p>
    <w:p w14:paraId="6988E5DC" w14:textId="77777777" w:rsidR="0037523D" w:rsidRDefault="0037523D" w:rsidP="0037523D">
      <w:r>
        <w:t xml:space="preserve">A comparison mode can allow direct side-by-side viewing of two eras under the same feature.  </w:t>
      </w:r>
    </w:p>
    <w:p w14:paraId="43E71425" w14:textId="77777777" w:rsidR="0037523D" w:rsidRDefault="0037523D" w:rsidP="0037523D">
      <w:r>
        <w:t xml:space="preserve">Context annotations can be added to mark major historical shifts, such as racket material changes or training evolution, directly on charts.  </w:t>
      </w:r>
    </w:p>
    <w:p w14:paraId="09D3214D" w14:textId="77777777" w:rsidR="0037523D" w:rsidRDefault="0037523D" w:rsidP="0037523D"/>
    <w:p w14:paraId="7354EE85" w14:textId="726A1FF7" w:rsidR="00A12817" w:rsidRDefault="00A12817" w:rsidP="00A12817">
      <w:pPr>
        <w:pStyle w:val="Titre2"/>
      </w:pPr>
      <w:r>
        <w:t>Required tools</w:t>
      </w:r>
    </w:p>
    <w:p w14:paraId="1B506564" w14:textId="36DC720B" w:rsidR="00EC1F6B" w:rsidRPr="00EC1F6B" w:rsidRDefault="00EC1F6B" w:rsidP="00EC1F6B">
      <w:r w:rsidRPr="00EC1F6B">
        <w:t xml:space="preserve">For the current prototype, </w:t>
      </w:r>
      <w:r>
        <w:t>t</w:t>
      </w:r>
      <w:r w:rsidRPr="00EC1F6B">
        <w:t xml:space="preserve">he bar charts use d3-scale and d3-axis. The scatterplots add d3-zoom for panning and zooming. The Sankey diagrams are rendered as static SVG skeletons. </w:t>
      </w:r>
    </w:p>
    <w:p w14:paraId="764E7C60" w14:textId="059FBC9A" w:rsidR="00EC1F6B" w:rsidRPr="00EC1F6B" w:rsidRDefault="00EC1F6B" w:rsidP="00EC1F6B">
      <w:r w:rsidRPr="00EC1F6B">
        <w:t xml:space="preserve">For the improved version, the Sankey diagrams will be replaced with data-driven layouts using the d3-sankey plugin. The parallel coordinates and spider charts </w:t>
      </w:r>
      <w:r w:rsidR="00444B59" w:rsidRPr="00EC1F6B">
        <w:t>can</w:t>
      </w:r>
      <w:r w:rsidR="00444B59">
        <w:t xml:space="preserve"> be</w:t>
      </w:r>
      <w:r w:rsidRPr="00EC1F6B">
        <w:t xml:space="preserve"> implemented in D3, and smooth scrolling between sections will be handled by GSAP's </w:t>
      </w:r>
      <w:proofErr w:type="spellStart"/>
      <w:r w:rsidRPr="00EC1F6B">
        <w:t>ScrollTrigger</w:t>
      </w:r>
      <w:proofErr w:type="spellEnd"/>
      <w:r w:rsidRPr="00EC1F6B">
        <w:t>.</w:t>
      </w:r>
    </w:p>
    <w:p w14:paraId="288C7669" w14:textId="08DA7418" w:rsidR="000248C8" w:rsidRDefault="000248C8" w:rsidP="00A12817">
      <w:r>
        <w:t xml:space="preserve">Relevant lectures are </w:t>
      </w:r>
      <w:r w:rsidR="00EC1F6B">
        <w:t>"D</w:t>
      </w:r>
      <w:r>
        <w:t>3.js</w:t>
      </w:r>
      <w:r w:rsidR="00EC1F6B">
        <w:t>”,</w:t>
      </w:r>
      <w:r>
        <w:t xml:space="preserve"> </w:t>
      </w:r>
      <w:r w:rsidR="00EC1F6B">
        <w:t>“</w:t>
      </w:r>
      <w:r w:rsidR="00EC1F6B" w:rsidRPr="00EC1F6B">
        <w:t>More interactive d3.js</w:t>
      </w:r>
      <w:r w:rsidR="00EC1F6B">
        <w:t>”</w:t>
      </w:r>
      <w:r>
        <w:t>,</w:t>
      </w:r>
      <w:r w:rsidR="00DB7C6F">
        <w:t xml:space="preserve"> </w:t>
      </w:r>
      <w:r w:rsidR="00EC1F6B">
        <w:t>“P</w:t>
      </w:r>
      <w:r w:rsidR="00DB7C6F">
        <w:t>erception</w:t>
      </w:r>
      <w:r w:rsidR="00EC1F6B">
        <w:t xml:space="preserve"> colors”</w:t>
      </w:r>
      <w:r w:rsidR="00DB7C6F">
        <w:t>, and</w:t>
      </w:r>
      <w:r w:rsidR="00EC1F6B">
        <w:t xml:space="preserve"> “S</w:t>
      </w:r>
      <w:r w:rsidR="00DB7C6F">
        <w:t>torytelling</w:t>
      </w:r>
      <w:r w:rsidR="00EC1F6B">
        <w:t>”</w:t>
      </w:r>
      <w:r w:rsidR="00DB7C6F">
        <w:t>.</w:t>
      </w:r>
      <w:r>
        <w:t xml:space="preserv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0"/>
        <w:gridCol w:w="5050"/>
      </w:tblGrid>
      <w:tr w:rsidR="0037523D" w14:paraId="29616CA1" w14:textId="77777777" w:rsidTr="0037523D">
        <w:trPr>
          <w:jc w:val="center"/>
        </w:trPr>
        <w:tc>
          <w:tcPr>
            <w:tcW w:w="4310" w:type="dxa"/>
            <w:vAlign w:val="center"/>
          </w:tcPr>
          <w:p w14:paraId="620C216C" w14:textId="3F6C2C42" w:rsidR="00A12817" w:rsidRDefault="0037523D" w:rsidP="00A12817">
            <w:pPr>
              <w:pStyle w:val="Lgende"/>
              <w:keepNext/>
              <w:jc w:val="center"/>
            </w:pPr>
            <w:r w:rsidRPr="0037523D">
              <w:lastRenderedPageBreak/>
              <w:drawing>
                <wp:inline distT="0" distB="0" distL="0" distR="0" wp14:anchorId="33EAC0DC" wp14:editId="5E1F0046">
                  <wp:extent cx="2843212" cy="1443173"/>
                  <wp:effectExtent l="0" t="0" r="0" b="5080"/>
                  <wp:docPr id="829223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2372" name=""/>
                          <pic:cNvPicPr/>
                        </pic:nvPicPr>
                        <pic:blipFill>
                          <a:blip r:embed="rId9"/>
                          <a:stretch>
                            <a:fillRect/>
                          </a:stretch>
                        </pic:blipFill>
                        <pic:spPr>
                          <a:xfrm>
                            <a:off x="0" y="0"/>
                            <a:ext cx="2886200" cy="1464993"/>
                          </a:xfrm>
                          <a:prstGeom prst="rect">
                            <a:avLst/>
                          </a:prstGeom>
                        </pic:spPr>
                      </pic:pic>
                    </a:graphicData>
                  </a:graphic>
                </wp:inline>
              </w:drawing>
            </w:r>
          </w:p>
          <w:p w14:paraId="041220C4" w14:textId="27D3C8D5" w:rsidR="00AC12D0" w:rsidRDefault="00A12817" w:rsidP="00A12817">
            <w:pPr>
              <w:pStyle w:val="Lgende"/>
              <w:jc w:val="center"/>
            </w:pPr>
            <w:r>
              <w:t xml:space="preserve">Figure </w:t>
            </w:r>
            <w:r>
              <w:fldChar w:fldCharType="begin"/>
            </w:r>
            <w:r>
              <w:instrText xml:space="preserve"> SEQ Figure \* ARABIC </w:instrText>
            </w:r>
            <w:r>
              <w:fldChar w:fldCharType="separate"/>
            </w:r>
            <w:r w:rsidR="00EC1F6B">
              <w:rPr>
                <w:noProof/>
              </w:rPr>
              <w:t>1</w:t>
            </w:r>
            <w:r>
              <w:fldChar w:fldCharType="end"/>
            </w:r>
            <w:r>
              <w:t xml:space="preserve">: </w:t>
            </w:r>
            <w:r w:rsidR="00EC1F6B" w:rsidRPr="00EC1F6B">
              <w:t>Bar chart showing the top 10 players by aggregated ranking points for a given era</w:t>
            </w:r>
          </w:p>
        </w:tc>
        <w:tc>
          <w:tcPr>
            <w:tcW w:w="5050" w:type="dxa"/>
          </w:tcPr>
          <w:p w14:paraId="5622EA14" w14:textId="0C02544B" w:rsidR="0037523D" w:rsidRPr="0037523D" w:rsidRDefault="0037523D" w:rsidP="0037523D">
            <w:pPr>
              <w:keepNext/>
              <w:jc w:val="center"/>
              <w:rPr>
                <w:lang w:val="fr-FR"/>
              </w:rPr>
            </w:pPr>
            <w:r w:rsidRPr="0037523D">
              <w:rPr>
                <w:lang w:val="fr-FR"/>
              </w:rPr>
              <w:drawing>
                <wp:inline distT="0" distB="0" distL="0" distR="0" wp14:anchorId="36EA509A" wp14:editId="03B12D44">
                  <wp:extent cx="3357804" cy="1999615"/>
                  <wp:effectExtent l="0" t="0" r="0" b="635"/>
                  <wp:docPr id="7997449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85263" cy="2015967"/>
                          </a:xfrm>
                          <a:prstGeom prst="rect">
                            <a:avLst/>
                          </a:prstGeom>
                          <a:noFill/>
                          <a:ln>
                            <a:noFill/>
                          </a:ln>
                        </pic:spPr>
                      </pic:pic>
                    </a:graphicData>
                  </a:graphic>
                </wp:inline>
              </w:drawing>
            </w:r>
          </w:p>
          <w:p w14:paraId="530541F5" w14:textId="79BE1B99" w:rsidR="00AC12D0" w:rsidRDefault="00AC12D0" w:rsidP="00A12817">
            <w:pPr>
              <w:keepNext/>
              <w:jc w:val="center"/>
            </w:pPr>
          </w:p>
          <w:p w14:paraId="467FA172" w14:textId="51A86441" w:rsidR="00AC12D0" w:rsidRDefault="00AC12D0" w:rsidP="00A12817">
            <w:pPr>
              <w:pStyle w:val="Lgende"/>
              <w:jc w:val="center"/>
            </w:pPr>
            <w:r>
              <w:t xml:space="preserve">Figure </w:t>
            </w:r>
            <w:r>
              <w:fldChar w:fldCharType="begin"/>
            </w:r>
            <w:r>
              <w:instrText xml:space="preserve"> SEQ Figure \* ARABIC </w:instrText>
            </w:r>
            <w:r>
              <w:fldChar w:fldCharType="separate"/>
            </w:r>
            <w:r w:rsidR="00EC1F6B">
              <w:rPr>
                <w:noProof/>
              </w:rPr>
              <w:t>2</w:t>
            </w:r>
            <w:r>
              <w:fldChar w:fldCharType="end"/>
            </w:r>
            <w:r>
              <w:t>:</w:t>
            </w:r>
            <w:r w:rsidR="00DB7C6F">
              <w:t xml:space="preserve"> </w:t>
            </w:r>
            <w:r w:rsidR="00EC1F6B" w:rsidRPr="00EC1F6B">
              <w:t>Scatter plot of volley shot percentage vs. ATP ranking points for players within a given era</w:t>
            </w:r>
          </w:p>
        </w:tc>
      </w:tr>
      <w:tr w:rsidR="0037523D" w14:paraId="17B7B1E3" w14:textId="77777777" w:rsidTr="0037523D">
        <w:trPr>
          <w:jc w:val="center"/>
        </w:trPr>
        <w:tc>
          <w:tcPr>
            <w:tcW w:w="4310" w:type="dxa"/>
          </w:tcPr>
          <w:p w14:paraId="4D2C1052" w14:textId="3FC0CB27" w:rsidR="00A12817" w:rsidRDefault="0037523D" w:rsidP="00A12817">
            <w:pPr>
              <w:keepNext/>
              <w:jc w:val="center"/>
            </w:pPr>
            <w:r>
              <w:t xml:space="preserve"> </w:t>
            </w:r>
            <w:r w:rsidR="00A12817" w:rsidRPr="00A12817">
              <w:rPr>
                <w:noProof/>
              </w:rPr>
              <w:drawing>
                <wp:inline distT="0" distB="0" distL="0" distR="0" wp14:anchorId="23D95BC1" wp14:editId="1FA26F2C">
                  <wp:extent cx="2479613" cy="1881963"/>
                  <wp:effectExtent l="0" t="0" r="0" b="0"/>
                  <wp:docPr id="72758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85911" name=""/>
                          <pic:cNvPicPr/>
                        </pic:nvPicPr>
                        <pic:blipFill>
                          <a:blip r:embed="rId11"/>
                          <a:stretch>
                            <a:fillRect/>
                          </a:stretch>
                        </pic:blipFill>
                        <pic:spPr>
                          <a:xfrm>
                            <a:off x="0" y="0"/>
                            <a:ext cx="2596960" cy="1971027"/>
                          </a:xfrm>
                          <a:prstGeom prst="rect">
                            <a:avLst/>
                          </a:prstGeom>
                        </pic:spPr>
                      </pic:pic>
                    </a:graphicData>
                  </a:graphic>
                </wp:inline>
              </w:drawing>
            </w:r>
          </w:p>
          <w:p w14:paraId="19912AA4" w14:textId="34E282DB" w:rsidR="00AC12D0" w:rsidRDefault="00A12817" w:rsidP="00EC1F6B">
            <w:pPr>
              <w:pStyle w:val="Lgende"/>
              <w:jc w:val="center"/>
            </w:pPr>
            <w:r>
              <w:t xml:space="preserve">Figure </w:t>
            </w:r>
            <w:r>
              <w:fldChar w:fldCharType="begin"/>
            </w:r>
            <w:r>
              <w:instrText xml:space="preserve"> SEQ Figure \* ARABIC </w:instrText>
            </w:r>
            <w:r>
              <w:fldChar w:fldCharType="separate"/>
            </w:r>
            <w:r w:rsidR="00EC1F6B">
              <w:rPr>
                <w:noProof/>
              </w:rPr>
              <w:t>3</w:t>
            </w:r>
            <w:r>
              <w:fldChar w:fldCharType="end"/>
            </w:r>
            <w:r>
              <w:t xml:space="preserve">: </w:t>
            </w:r>
            <w:r w:rsidR="00EC1F6B" w:rsidRPr="00EC1F6B">
              <w:t>Sankey diagram skeleton showing shot type mapped to point outcome.</w:t>
            </w:r>
          </w:p>
        </w:tc>
        <w:tc>
          <w:tcPr>
            <w:tcW w:w="5050" w:type="dxa"/>
          </w:tcPr>
          <w:p w14:paraId="5BEB87BE" w14:textId="77777777" w:rsidR="00DB7C6F" w:rsidRDefault="00DB7C6F" w:rsidP="00DB7C6F">
            <w:pPr>
              <w:keepNext/>
              <w:jc w:val="center"/>
            </w:pPr>
            <w:r w:rsidRPr="00DB7C6F">
              <w:rPr>
                <w:noProof/>
              </w:rPr>
              <w:drawing>
                <wp:inline distT="0" distB="0" distL="0" distR="0" wp14:anchorId="24922BA8" wp14:editId="4B9E90D5">
                  <wp:extent cx="1552354" cy="1838862"/>
                  <wp:effectExtent l="0" t="0" r="0" b="3175"/>
                  <wp:docPr id="63956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63218" name=""/>
                          <pic:cNvPicPr/>
                        </pic:nvPicPr>
                        <pic:blipFill>
                          <a:blip r:embed="rId12"/>
                          <a:stretch>
                            <a:fillRect/>
                          </a:stretch>
                        </pic:blipFill>
                        <pic:spPr>
                          <a:xfrm>
                            <a:off x="0" y="0"/>
                            <a:ext cx="1597844" cy="1892748"/>
                          </a:xfrm>
                          <a:prstGeom prst="rect">
                            <a:avLst/>
                          </a:prstGeom>
                        </pic:spPr>
                      </pic:pic>
                    </a:graphicData>
                  </a:graphic>
                </wp:inline>
              </w:drawing>
            </w:r>
          </w:p>
          <w:p w14:paraId="711D9A5C" w14:textId="12DB7AFC" w:rsidR="00AC12D0" w:rsidRDefault="00DB7C6F" w:rsidP="00EC1F6B">
            <w:pPr>
              <w:pStyle w:val="Lgende"/>
              <w:jc w:val="center"/>
            </w:pPr>
            <w:r>
              <w:t xml:space="preserve">Figure </w:t>
            </w:r>
            <w:r>
              <w:fldChar w:fldCharType="begin"/>
            </w:r>
            <w:r>
              <w:instrText xml:space="preserve"> SEQ Figure \* ARABIC </w:instrText>
            </w:r>
            <w:r>
              <w:fldChar w:fldCharType="separate"/>
            </w:r>
            <w:r w:rsidR="00EC1F6B">
              <w:rPr>
                <w:noProof/>
              </w:rPr>
              <w:t>4</w:t>
            </w:r>
            <w:r>
              <w:fldChar w:fldCharType="end"/>
            </w:r>
            <w:r>
              <w:t xml:space="preserve">: </w:t>
            </w:r>
            <w:r w:rsidR="00EC1F6B" w:rsidRPr="00EC1F6B">
              <w:t>Spider chart example showing a top player's profile against the era average across six play statistics</w:t>
            </w:r>
          </w:p>
        </w:tc>
      </w:tr>
      <w:tr w:rsidR="0037523D" w14:paraId="3DBE9542" w14:textId="77777777" w:rsidTr="0037523D">
        <w:trPr>
          <w:jc w:val="center"/>
        </w:trPr>
        <w:tc>
          <w:tcPr>
            <w:tcW w:w="4310" w:type="dxa"/>
          </w:tcPr>
          <w:p w14:paraId="7D300BAE" w14:textId="77777777" w:rsidR="00AC12D0" w:rsidRDefault="00AC12D0" w:rsidP="00AC12D0">
            <w:pPr>
              <w:jc w:val="center"/>
            </w:pPr>
          </w:p>
        </w:tc>
        <w:tc>
          <w:tcPr>
            <w:tcW w:w="5050" w:type="dxa"/>
          </w:tcPr>
          <w:p w14:paraId="373D1796" w14:textId="77777777" w:rsidR="00AC12D0" w:rsidRDefault="00AC12D0" w:rsidP="00AC12D0">
            <w:pPr>
              <w:jc w:val="center"/>
            </w:pPr>
          </w:p>
        </w:tc>
      </w:tr>
    </w:tbl>
    <w:p w14:paraId="0E00D95C" w14:textId="77777777" w:rsidR="00DB7C6F" w:rsidRDefault="00DB7C6F" w:rsidP="00DB7C6F">
      <w:pPr>
        <w:keepNext/>
        <w:jc w:val="center"/>
      </w:pPr>
      <w:r w:rsidRPr="00DB7C6F">
        <w:rPr>
          <w:noProof/>
        </w:rPr>
        <w:drawing>
          <wp:inline distT="0" distB="0" distL="0" distR="0" wp14:anchorId="2157C76C" wp14:editId="103BD968">
            <wp:extent cx="5943600" cy="1782445"/>
            <wp:effectExtent l="0" t="0" r="0" b="0"/>
            <wp:docPr id="799517699" name="Picture 1" descr="A graph of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17699" name="Picture 1" descr="A graph of lines and numbers&#10;&#10;AI-generated content may be incorrect."/>
                    <pic:cNvPicPr/>
                  </pic:nvPicPr>
                  <pic:blipFill>
                    <a:blip r:embed="rId13"/>
                    <a:stretch>
                      <a:fillRect/>
                    </a:stretch>
                  </pic:blipFill>
                  <pic:spPr>
                    <a:xfrm>
                      <a:off x="0" y="0"/>
                      <a:ext cx="5943600" cy="1782445"/>
                    </a:xfrm>
                    <a:prstGeom prst="rect">
                      <a:avLst/>
                    </a:prstGeom>
                  </pic:spPr>
                </pic:pic>
              </a:graphicData>
            </a:graphic>
          </wp:inline>
        </w:drawing>
      </w:r>
    </w:p>
    <w:p w14:paraId="519F4C81" w14:textId="34029B53" w:rsidR="00DB7C6F" w:rsidRDefault="00DB7C6F" w:rsidP="00DB7C6F">
      <w:pPr>
        <w:pStyle w:val="Lgende"/>
        <w:jc w:val="center"/>
      </w:pPr>
      <w:r>
        <w:t xml:space="preserve">Figure </w:t>
      </w:r>
      <w:r>
        <w:fldChar w:fldCharType="begin"/>
      </w:r>
      <w:r>
        <w:instrText xml:space="preserve"> SEQ Figure \* ARABIC </w:instrText>
      </w:r>
      <w:r>
        <w:fldChar w:fldCharType="separate"/>
      </w:r>
      <w:r w:rsidR="00EC1F6B">
        <w:rPr>
          <w:noProof/>
        </w:rPr>
        <w:t>5</w:t>
      </w:r>
      <w:r>
        <w:fldChar w:fldCharType="end"/>
      </w:r>
      <w:r>
        <w:t xml:space="preserve">: </w:t>
      </w:r>
      <w:r w:rsidR="00EC1F6B" w:rsidRPr="00EC1F6B">
        <w:t>Parallel coordinates example showing player profiles across six statistics, color-coded by era, with era filtering</w:t>
      </w:r>
    </w:p>
    <w:p w14:paraId="333CE3A2" w14:textId="78025EEE" w:rsidR="00DB7C6F" w:rsidRPr="00DB7C6F" w:rsidRDefault="00DB7C6F" w:rsidP="00DB7C6F">
      <w:pPr>
        <w:keepNext/>
        <w:jc w:val="center"/>
      </w:pPr>
      <w:r w:rsidRPr="00DB7C6F">
        <w:t xml:space="preserve"> </w:t>
      </w:r>
    </w:p>
    <w:sectPr w:rsidR="00DB7C6F" w:rsidRPr="00DB7C6F" w:rsidSect="00077B15">
      <w:headerReference w:type="default" r:id="rId14"/>
      <w:pgSz w:w="12240" w:h="15840"/>
      <w:pgMar w:top="1440" w:right="1440" w:bottom="1440" w:left="1440" w:header="567"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45E43" w14:textId="77777777" w:rsidR="007010CA" w:rsidRDefault="007010CA" w:rsidP="002D249B">
      <w:pPr>
        <w:spacing w:after="0" w:line="240" w:lineRule="auto"/>
      </w:pPr>
      <w:r>
        <w:separator/>
      </w:r>
    </w:p>
  </w:endnote>
  <w:endnote w:type="continuationSeparator" w:id="0">
    <w:p w14:paraId="0DC49EBD" w14:textId="77777777" w:rsidR="007010CA" w:rsidRDefault="007010CA" w:rsidP="002D2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9B722" w14:textId="77777777" w:rsidR="007010CA" w:rsidRDefault="007010CA" w:rsidP="002D249B">
      <w:pPr>
        <w:spacing w:after="0" w:line="240" w:lineRule="auto"/>
      </w:pPr>
      <w:r>
        <w:separator/>
      </w:r>
    </w:p>
  </w:footnote>
  <w:footnote w:type="continuationSeparator" w:id="0">
    <w:p w14:paraId="43394721" w14:textId="77777777" w:rsidR="007010CA" w:rsidRDefault="007010CA" w:rsidP="002D2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CD52E" w14:textId="50267C02" w:rsidR="002D249B" w:rsidRDefault="002D249B">
    <w:pPr>
      <w:pStyle w:val="En-tte"/>
    </w:pPr>
    <w:r>
      <w:t xml:space="preserve">Team </w:t>
    </w:r>
    <w:proofErr w:type="spellStart"/>
    <w:r>
      <w:t>nadal</w:t>
    </w:r>
    <w:proofErr w:type="spellEnd"/>
    <w:r>
      <w:t>-prime</w:t>
    </w:r>
    <w:r>
      <w:tab/>
    </w:r>
    <w:r>
      <w:tab/>
      <w:t>COM-480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44993"/>
    <w:multiLevelType w:val="hybridMultilevel"/>
    <w:tmpl w:val="9C109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426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49B"/>
    <w:rsid w:val="000248C8"/>
    <w:rsid w:val="00077B15"/>
    <w:rsid w:val="00155B86"/>
    <w:rsid w:val="002D249B"/>
    <w:rsid w:val="002E43C9"/>
    <w:rsid w:val="0037523D"/>
    <w:rsid w:val="00393D78"/>
    <w:rsid w:val="00444B59"/>
    <w:rsid w:val="006F3587"/>
    <w:rsid w:val="007010CA"/>
    <w:rsid w:val="00774FE4"/>
    <w:rsid w:val="007F4A13"/>
    <w:rsid w:val="00821C29"/>
    <w:rsid w:val="00A12817"/>
    <w:rsid w:val="00AC12D0"/>
    <w:rsid w:val="00B946C2"/>
    <w:rsid w:val="00C13D53"/>
    <w:rsid w:val="00D110A4"/>
    <w:rsid w:val="00DB7C6F"/>
    <w:rsid w:val="00EC1F6B"/>
    <w:rsid w:val="00F377F2"/>
    <w:rsid w:val="00F86B2B"/>
    <w:rsid w:val="00FB2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46458"/>
  <w15:chartTrackingRefBased/>
  <w15:docId w15:val="{F6CE8D0E-EA6E-404A-9690-23E51ACFE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D24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D24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D249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D249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D249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D249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D249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D249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D249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D249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D249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2D249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D249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D249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D249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D249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D249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D249B"/>
    <w:rPr>
      <w:rFonts w:eastAsiaTheme="majorEastAsia" w:cstheme="majorBidi"/>
      <w:color w:val="272727" w:themeColor="text1" w:themeTint="D8"/>
    </w:rPr>
  </w:style>
  <w:style w:type="paragraph" w:styleId="Titre">
    <w:name w:val="Title"/>
    <w:basedOn w:val="Normal"/>
    <w:next w:val="Normal"/>
    <w:link w:val="TitreCar"/>
    <w:uiPriority w:val="10"/>
    <w:qFormat/>
    <w:rsid w:val="002D2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D249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D249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D249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D249B"/>
    <w:pPr>
      <w:spacing w:before="160"/>
      <w:jc w:val="center"/>
    </w:pPr>
    <w:rPr>
      <w:i/>
      <w:iCs/>
      <w:color w:val="404040" w:themeColor="text1" w:themeTint="BF"/>
    </w:rPr>
  </w:style>
  <w:style w:type="character" w:customStyle="1" w:styleId="CitationCar">
    <w:name w:val="Citation Car"/>
    <w:basedOn w:val="Policepardfaut"/>
    <w:link w:val="Citation"/>
    <w:uiPriority w:val="29"/>
    <w:rsid w:val="002D249B"/>
    <w:rPr>
      <w:i/>
      <w:iCs/>
      <w:color w:val="404040" w:themeColor="text1" w:themeTint="BF"/>
    </w:rPr>
  </w:style>
  <w:style w:type="paragraph" w:styleId="Paragraphedeliste">
    <w:name w:val="List Paragraph"/>
    <w:basedOn w:val="Normal"/>
    <w:uiPriority w:val="34"/>
    <w:qFormat/>
    <w:rsid w:val="002D249B"/>
    <w:pPr>
      <w:ind w:left="720"/>
      <w:contextualSpacing/>
    </w:pPr>
  </w:style>
  <w:style w:type="character" w:styleId="Accentuationintense">
    <w:name w:val="Intense Emphasis"/>
    <w:basedOn w:val="Policepardfaut"/>
    <w:uiPriority w:val="21"/>
    <w:qFormat/>
    <w:rsid w:val="002D249B"/>
    <w:rPr>
      <w:i/>
      <w:iCs/>
      <w:color w:val="0F4761" w:themeColor="accent1" w:themeShade="BF"/>
    </w:rPr>
  </w:style>
  <w:style w:type="paragraph" w:styleId="Citationintense">
    <w:name w:val="Intense Quote"/>
    <w:basedOn w:val="Normal"/>
    <w:next w:val="Normal"/>
    <w:link w:val="CitationintenseCar"/>
    <w:uiPriority w:val="30"/>
    <w:qFormat/>
    <w:rsid w:val="002D2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D249B"/>
    <w:rPr>
      <w:i/>
      <w:iCs/>
      <w:color w:val="0F4761" w:themeColor="accent1" w:themeShade="BF"/>
    </w:rPr>
  </w:style>
  <w:style w:type="character" w:styleId="Rfrenceintense">
    <w:name w:val="Intense Reference"/>
    <w:basedOn w:val="Policepardfaut"/>
    <w:uiPriority w:val="32"/>
    <w:qFormat/>
    <w:rsid w:val="002D249B"/>
    <w:rPr>
      <w:b/>
      <w:bCs/>
      <w:smallCaps/>
      <w:color w:val="0F4761" w:themeColor="accent1" w:themeShade="BF"/>
      <w:spacing w:val="5"/>
    </w:rPr>
  </w:style>
  <w:style w:type="paragraph" w:styleId="En-tte">
    <w:name w:val="header"/>
    <w:basedOn w:val="Normal"/>
    <w:link w:val="En-tteCar"/>
    <w:uiPriority w:val="99"/>
    <w:unhideWhenUsed/>
    <w:rsid w:val="002D249B"/>
    <w:pPr>
      <w:tabs>
        <w:tab w:val="center" w:pos="4680"/>
        <w:tab w:val="right" w:pos="9360"/>
      </w:tabs>
      <w:spacing w:after="0" w:line="240" w:lineRule="auto"/>
    </w:pPr>
  </w:style>
  <w:style w:type="character" w:customStyle="1" w:styleId="En-tteCar">
    <w:name w:val="En-tête Car"/>
    <w:basedOn w:val="Policepardfaut"/>
    <w:link w:val="En-tte"/>
    <w:uiPriority w:val="99"/>
    <w:rsid w:val="002D249B"/>
  </w:style>
  <w:style w:type="paragraph" w:styleId="Pieddepage">
    <w:name w:val="footer"/>
    <w:basedOn w:val="Normal"/>
    <w:link w:val="PieddepageCar"/>
    <w:uiPriority w:val="99"/>
    <w:unhideWhenUsed/>
    <w:rsid w:val="002D249B"/>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2D249B"/>
  </w:style>
  <w:style w:type="character" w:styleId="Lienhypertexte">
    <w:name w:val="Hyperlink"/>
    <w:basedOn w:val="Policepardfaut"/>
    <w:uiPriority w:val="99"/>
    <w:unhideWhenUsed/>
    <w:rsid w:val="00821C29"/>
    <w:rPr>
      <w:color w:val="467886" w:themeColor="hyperlink"/>
      <w:u w:val="single"/>
    </w:rPr>
  </w:style>
  <w:style w:type="character" w:styleId="Mentionnonrsolue">
    <w:name w:val="Unresolved Mention"/>
    <w:basedOn w:val="Policepardfaut"/>
    <w:uiPriority w:val="99"/>
    <w:semiHidden/>
    <w:unhideWhenUsed/>
    <w:rsid w:val="00821C29"/>
    <w:rPr>
      <w:color w:val="605E5C"/>
      <w:shd w:val="clear" w:color="auto" w:fill="E1DFDD"/>
    </w:rPr>
  </w:style>
  <w:style w:type="character" w:styleId="Lienhypertextesuivivisit">
    <w:name w:val="FollowedHyperlink"/>
    <w:basedOn w:val="Policepardfaut"/>
    <w:uiPriority w:val="99"/>
    <w:semiHidden/>
    <w:unhideWhenUsed/>
    <w:rsid w:val="00821C29"/>
    <w:rPr>
      <w:color w:val="96607D" w:themeColor="followedHyperlink"/>
      <w:u w:val="single"/>
    </w:rPr>
  </w:style>
  <w:style w:type="paragraph" w:styleId="Lgende">
    <w:name w:val="caption"/>
    <w:basedOn w:val="Normal"/>
    <w:next w:val="Normal"/>
    <w:uiPriority w:val="35"/>
    <w:unhideWhenUsed/>
    <w:qFormat/>
    <w:rsid w:val="00AC12D0"/>
    <w:pPr>
      <w:spacing w:after="200" w:line="240" w:lineRule="auto"/>
    </w:pPr>
    <w:rPr>
      <w:i/>
      <w:iCs/>
      <w:color w:val="0E2841" w:themeColor="text2"/>
      <w:sz w:val="18"/>
      <w:szCs w:val="18"/>
    </w:rPr>
  </w:style>
  <w:style w:type="table" w:styleId="Grilledutableau">
    <w:name w:val="Table Grid"/>
    <w:basedOn w:val="TableauNormal"/>
    <w:uiPriority w:val="39"/>
    <w:rsid w:val="00AC12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480-data-visualization.github.io/nadal-prime/"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96D11-C611-4136-B075-6868D2537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3</Pages>
  <Words>659</Words>
  <Characters>3628</Characters>
  <Application>Microsoft Office Word</Application>
  <DocSecurity>0</DocSecurity>
  <Lines>30</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Martin</dc:creator>
  <cp:keywords/>
  <dc:description/>
  <cp:lastModifiedBy>Valentin Belardi</cp:lastModifiedBy>
  <cp:revision>2</cp:revision>
  <cp:lastPrinted>2026-04-11T11:31:00Z</cp:lastPrinted>
  <dcterms:created xsi:type="dcterms:W3CDTF">2026-04-11T09:54:00Z</dcterms:created>
  <dcterms:modified xsi:type="dcterms:W3CDTF">2026-04-15T13:25:00Z</dcterms:modified>
</cp:coreProperties>
</file>