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sz w:val="24"/>
        </w:rPr>
      </w:pPr>
      <w:r>
        <w:drawing>
          <wp:anchor behindDoc="0" distT="0" distB="0" distL="0" distR="0" simplePos="0" locked="0" layoutInCell="1" allowOverlap="1" relativeHeight="2">
            <wp:simplePos x="0" y="0"/>
            <wp:positionH relativeFrom="column">
              <wp:posOffset>-24130</wp:posOffset>
            </wp:positionH>
            <wp:positionV relativeFrom="paragraph">
              <wp:posOffset>5715</wp:posOffset>
            </wp:positionV>
            <wp:extent cx="1065530" cy="1065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65530" cy="10655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5104765</wp:posOffset>
            </wp:positionH>
            <wp:positionV relativeFrom="paragraph">
              <wp:posOffset>34925</wp:posOffset>
            </wp:positionV>
            <wp:extent cx="1065530" cy="1052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65530" cy="1052195"/>
                    </a:xfrm>
                    <a:prstGeom prst="rect">
                      <a:avLst/>
                    </a:prstGeom>
                  </pic:spPr>
                </pic:pic>
              </a:graphicData>
            </a:graphic>
          </wp:anchor>
        </w:drawing>
      </w:r>
      <w:r>
        <w:rPr>
          <w:sz w:val="24"/>
        </w:rPr>
        <w:t xml:space="preserve">       </w:t>
      </w:r>
      <w:r>
        <w:rPr>
          <w:b/>
          <w:sz w:val="24"/>
        </w:rPr>
        <w:t xml:space="preserve">Document: </w:t>
      </w:r>
      <w:r>
        <w:rPr>
          <w:b/>
          <w:sz w:val="24"/>
        </w:rPr>
        <w:t>Fonctionalités de Biletujo</w:t>
      </w:r>
    </w:p>
    <w:p>
      <w:pPr>
        <w:pStyle w:val="Normal"/>
        <w:rPr>
          <w:rFonts w:ascii="Times" w:hAnsi="Times"/>
          <w:sz w:val="24"/>
        </w:rPr>
      </w:pPr>
      <w:r>
        <w:rPr>
          <w:sz w:val="24"/>
        </w:rPr>
      </w:r>
    </w:p>
    <w:tbl>
      <w:tblPr>
        <w:tblW w:w="6289" w:type="dxa"/>
        <w:jc w:val="left"/>
        <w:tblInd w:w="1742" w:type="dxa"/>
        <w:tblBorders/>
        <w:tblCellMar>
          <w:top w:w="55" w:type="dxa"/>
          <w:left w:w="55" w:type="dxa"/>
          <w:bottom w:w="55" w:type="dxa"/>
          <w:right w:w="55" w:type="dxa"/>
        </w:tblCellMar>
      </w:tblPr>
      <w:tblGrid>
        <w:gridCol w:w="1371"/>
        <w:gridCol w:w="3118"/>
        <w:gridCol w:w="1800"/>
      </w:tblGrid>
      <w:tr>
        <w:trPr/>
        <w:tc>
          <w:tcPr>
            <w:tcW w:w="1371" w:type="dxa"/>
            <w:tcBorders/>
            <w:shd w:fill="auto" w:val="clear"/>
          </w:tcPr>
          <w:p>
            <w:pPr>
              <w:pStyle w:val="Normal"/>
              <w:rPr>
                <w:rFonts w:ascii="Times" w:hAnsi="Times"/>
                <w:b/>
                <w:sz w:val="24"/>
              </w:rPr>
            </w:pPr>
            <w:r>
              <w:rPr>
                <w:b/>
                <w:sz w:val="24"/>
              </w:rPr>
              <w:t>Version</w:t>
            </w:r>
          </w:p>
        </w:tc>
        <w:tc>
          <w:tcPr>
            <w:tcW w:w="3118" w:type="dxa"/>
            <w:tcBorders/>
            <w:shd w:fill="auto" w:val="clear"/>
          </w:tcPr>
          <w:p>
            <w:pPr>
              <w:pStyle w:val="Normal"/>
              <w:rPr>
                <w:rFonts w:ascii="Times" w:hAnsi="Times"/>
                <w:b/>
                <w:sz w:val="24"/>
              </w:rPr>
            </w:pPr>
            <w:r>
              <w:rPr>
                <w:b/>
                <w:sz w:val="24"/>
              </w:rPr>
              <w:t>Date</w:t>
            </w:r>
          </w:p>
        </w:tc>
        <w:tc>
          <w:tcPr>
            <w:tcW w:w="1800" w:type="dxa"/>
            <w:tcBorders/>
            <w:shd w:fill="auto" w:val="clear"/>
          </w:tcPr>
          <w:p>
            <w:pPr>
              <w:pStyle w:val="Normal"/>
              <w:ind w:left="0" w:right="0" w:hanging="0"/>
              <w:rPr>
                <w:rFonts w:ascii="Times" w:hAnsi="Times"/>
                <w:b/>
                <w:sz w:val="24"/>
              </w:rPr>
            </w:pPr>
            <w:r>
              <w:rPr>
                <w:b/>
                <w:sz w:val="24"/>
              </w:rPr>
              <w:t>Author</w:t>
            </w:r>
          </w:p>
        </w:tc>
      </w:tr>
      <w:tr>
        <w:trPr/>
        <w:tc>
          <w:tcPr>
            <w:tcW w:w="1371" w:type="dxa"/>
            <w:tcBorders/>
            <w:shd w:fill="auto" w:val="clear"/>
          </w:tcPr>
          <w:p>
            <w:pPr>
              <w:pStyle w:val="Normal"/>
              <w:ind w:left="0" w:right="0" w:hanging="0"/>
              <w:rPr>
                <w:rFonts w:ascii="Times" w:hAnsi="Times"/>
                <w:sz w:val="24"/>
              </w:rPr>
            </w:pPr>
            <w:r>
              <w:rPr>
                <w:sz w:val="24"/>
              </w:rPr>
              <w:t>1.0</w:t>
            </w:r>
          </w:p>
        </w:tc>
        <w:tc>
          <w:tcPr>
            <w:tcW w:w="3118" w:type="dxa"/>
            <w:tcBorders/>
            <w:shd w:fill="auto" w:val="clear"/>
          </w:tcPr>
          <w:p>
            <w:pPr>
              <w:pStyle w:val="Normal"/>
              <w:ind w:left="89" w:right="0" w:hanging="0"/>
              <w:rPr>
                <w:rFonts w:ascii="Times" w:hAnsi="Times"/>
                <w:sz w:val="24"/>
              </w:rPr>
            </w:pPr>
            <w:r>
              <w:rPr>
                <w:sz w:val="24"/>
              </w:rPr>
              <w:t>1</w:t>
            </w:r>
            <w:r>
              <w:rPr>
                <w:sz w:val="24"/>
              </w:rPr>
              <w:t>3</w:t>
            </w:r>
            <w:r>
              <w:rPr>
                <w:sz w:val="24"/>
              </w:rPr>
              <w:t xml:space="preserve"> Dec. 2019</w:t>
            </w:r>
          </w:p>
        </w:tc>
        <w:tc>
          <w:tcPr>
            <w:tcW w:w="1800" w:type="dxa"/>
            <w:tcBorders/>
            <w:shd w:fill="auto" w:val="clear"/>
          </w:tcPr>
          <w:p>
            <w:pPr>
              <w:pStyle w:val="Normal"/>
              <w:rPr>
                <w:rFonts w:ascii="Times" w:hAnsi="Times"/>
                <w:sz w:val="24"/>
              </w:rPr>
            </w:pPr>
            <w:r>
              <w:rPr>
                <w:sz w:val="24"/>
              </w:rPr>
              <w:t>F. Dubath</w:t>
            </w:r>
          </w:p>
        </w:tc>
      </w:tr>
    </w:tbl>
    <w:p>
      <w:pPr>
        <w:pStyle w:val="Normal"/>
        <w:rPr>
          <w:rFonts w:ascii="Times" w:hAnsi="Times"/>
          <w:sz w:val="24"/>
        </w:rPr>
      </w:pPr>
      <w:r>
        <w:rPr>
          <w:sz w:val="24"/>
        </w:rPr>
      </w:r>
    </w:p>
    <w:p>
      <w:pPr>
        <w:pStyle w:val="Title"/>
        <w:rPr/>
      </w:pPr>
      <w:r>
        <w:rPr/>
        <w:t>Fonctionalités de Biletujo</w:t>
      </w:r>
    </w:p>
    <w:p>
      <w:pPr>
        <w:pStyle w:val="Normal"/>
        <w:spacing w:lineRule="auto" w:line="276" w:before="0" w:after="140"/>
        <w:rPr>
          <w:rFonts w:ascii="Times" w:hAnsi="Times"/>
          <w:color w:val="000000"/>
          <w:spacing w:val="0"/>
          <w:sz w:val="18"/>
        </w:rPr>
      </w:pPr>
      <w:r>
        <w:rPr>
          <w:color w:val="000000"/>
          <w:spacing w:val="0"/>
          <w:sz w:val="18"/>
        </w:rPr>
        <w:t>Ce document décrits les fonctionalité de l’app bBletujo en se basant sur la version 2.2.1</w:t>
      </w:r>
    </w:p>
    <w:p>
      <w:pPr>
        <w:pStyle w:val="Heading1"/>
        <w:numPr>
          <w:ilvl w:val="0"/>
          <w:numId w:val="1"/>
        </w:numPr>
        <w:rPr/>
      </w:pPr>
      <w:r>
        <w:rPr/>
        <w:t>Chargement de l’application</w:t>
      </w:r>
    </w:p>
    <w:p>
      <w:pPr>
        <w:pStyle w:val="Normal"/>
        <w:spacing w:lineRule="auto" w:line="276" w:before="0" w:after="140"/>
        <w:rPr>
          <w:rFonts w:ascii="Times" w:hAnsi="Times"/>
          <w:color w:val="000000"/>
          <w:spacing w:val="0"/>
          <w:sz w:val="18"/>
        </w:rPr>
      </w:pPr>
      <w:r>
        <w:rPr>
          <w:color w:val="000000"/>
          <w:spacing w:val="0"/>
          <w:sz w:val="18"/>
        </w:rPr>
        <w:t>Au chargement de l’application celle-ci va aller chercher la liste des serveurs en la demandant à un des noeuds IPFS. Ensuite elle prend un des serveurs au hasard et vérifie si celui-ci est fonctionnel en testant l’api. Une fois un serveur sélectionné celui-ci sera utilisé comme point de contact pour obtenir les informations et communiquer avec la block-chain.</w:t>
      </w:r>
    </w:p>
    <w:p>
      <w:pPr>
        <w:pStyle w:val="Normal"/>
        <w:spacing w:lineRule="auto" w:line="276" w:before="0" w:after="140"/>
        <w:rPr>
          <w:rFonts w:ascii="Times" w:hAnsi="Times"/>
          <w:color w:val="000000"/>
          <w:spacing w:val="0"/>
          <w:sz w:val="18"/>
        </w:rPr>
      </w:pPr>
      <w:r>
        <w:rPr>
          <w:color w:val="000000"/>
          <w:spacing w:val="0"/>
          <w:sz w:val="18"/>
        </w:rPr>
        <w:t xml:space="preserve">Si l’url qui s’est chargée contient les informations pour le payement d’un magasin en ligne, celle-si sont récupérée et le payement sera demandé une fois le compte déverrouillé (s’il s’agit d’un compte dans la bonne monnaie) </w:t>
      </w:r>
    </w:p>
    <w:p>
      <w:pPr>
        <w:pStyle w:val="Heading1"/>
        <w:numPr>
          <w:ilvl w:val="0"/>
          <w:numId w:val="1"/>
        </w:numPr>
        <w:rPr/>
      </w:pPr>
      <w:r>
        <w:rPr/>
        <w:t>Gestion des comptes</w:t>
      </w:r>
    </w:p>
    <w:p>
      <w:pPr>
        <w:pStyle w:val="Heading"/>
        <w:rPr/>
      </w:pPr>
      <w:r>
        <w:rPr/>
        <w:t>Sélection d’un compte</w:t>
      </w:r>
    </w:p>
    <w:p>
      <w:pPr>
        <w:pStyle w:val="Normal"/>
        <w:spacing w:lineRule="auto" w:line="276" w:before="0" w:after="140"/>
        <w:rPr>
          <w:rFonts w:ascii="Times" w:hAnsi="Times"/>
          <w:color w:val="000000"/>
          <w:spacing w:val="0"/>
          <w:sz w:val="18"/>
        </w:rPr>
      </w:pPr>
      <w:r>
        <w:rPr>
          <w:color w:val="000000"/>
          <w:spacing w:val="0"/>
          <w:sz w:val="18"/>
        </w:rPr>
        <w:t xml:space="preserve">Biletujo s’ouvre sur la page de sélection des comptes, cette page contient la liste des comptes enregistrés dans Biletujo chaque compte est présenté avec le logo de sa monnaie </w:t>
      </w:r>
      <w:r>
        <w:rPr>
          <w:color w:val="000000"/>
          <w:spacing w:val="0"/>
          <w:sz w:val="18"/>
        </w:rPr>
        <w:t>et son cryptogramme</w:t>
      </w:r>
      <w:r>
        <w:rPr>
          <w:color w:val="000000"/>
          <w:spacing w:val="0"/>
          <w:sz w:val="18"/>
        </w:rPr>
        <w:t>. Sur cette page, l’utilisateur peut associer un nom à un compte et supprimer un compte de l’application (il lui sera proposé de refaire une sauvegarde avant de détruire l’enregistrement)</w:t>
      </w:r>
    </w:p>
    <w:p>
      <w:pPr>
        <w:pStyle w:val="Normal"/>
        <w:spacing w:lineRule="auto" w:line="276" w:before="0" w:after="140"/>
        <w:rPr>
          <w:rFonts w:ascii="Times" w:hAnsi="Times"/>
          <w:color w:val="000000"/>
          <w:spacing w:val="0"/>
          <w:sz w:val="18"/>
        </w:rPr>
      </w:pPr>
      <w:r>
        <w:rPr>
          <w:color w:val="000000"/>
          <w:spacing w:val="0"/>
          <w:sz w:val="18"/>
        </w:rPr>
        <w:t>L’utilisateur peut sélectionner un compte, celui-ci est chargé et l’application présente alors la page d’ouverture du compte. Lors du chargement du compte l’application prend le style associé à la monnaie du compte (elle change de couleur et d’icônes)</w:t>
      </w:r>
    </w:p>
    <w:p>
      <w:pPr>
        <w:pStyle w:val="Heading"/>
        <w:rPr/>
      </w:pPr>
      <w:r>
        <w:rPr/>
        <w:t>Création de compte</w:t>
      </w:r>
    </w:p>
    <w:p>
      <w:pPr>
        <w:pStyle w:val="Normal"/>
        <w:spacing w:lineRule="auto" w:line="276" w:before="0" w:after="140"/>
        <w:rPr>
          <w:rFonts w:ascii="Times" w:hAnsi="Times"/>
          <w:color w:val="000000"/>
          <w:spacing w:val="0"/>
          <w:sz w:val="18"/>
        </w:rPr>
      </w:pPr>
      <w:r>
        <w:rPr>
          <w:color w:val="000000"/>
          <w:spacing w:val="0"/>
          <w:sz w:val="18"/>
        </w:rPr>
        <w:t>Un utilisateur qui s’est vu délivré un code d’autorisation de la part d’une monnaie partie prenante à Biletujo peut entrer ce code sur la page de création de compte (il est recommandé de le faire sur un ordinateur pour pouvoir sauver un fichier de backup /une sauvegarde papier du compte)</w:t>
      </w:r>
    </w:p>
    <w:p>
      <w:pPr>
        <w:pStyle w:val="Normal"/>
        <w:spacing w:lineRule="auto" w:line="276" w:before="0" w:after="140"/>
        <w:rPr>
          <w:rFonts w:ascii="Times" w:hAnsi="Times"/>
          <w:color w:val="000000"/>
          <w:spacing w:val="0"/>
          <w:sz w:val="18"/>
        </w:rPr>
      </w:pPr>
      <w:r>
        <w:rPr>
          <w:color w:val="000000"/>
          <w:spacing w:val="0"/>
          <w:sz w:val="18"/>
        </w:rPr>
        <w:t xml:space="preserve">Une fois le code validé, l’application prend le style associé à la monnaie du compte (elle change de couleur et d’icônes). </w:t>
      </w:r>
      <w:r>
        <w:rPr>
          <w:color w:val="000000"/>
          <w:spacing w:val="0"/>
          <w:sz w:val="18"/>
        </w:rPr>
        <w:t>L</w:t>
      </w:r>
      <w:r>
        <w:rPr>
          <w:color w:val="000000"/>
          <w:spacing w:val="0"/>
          <w:sz w:val="18"/>
        </w:rPr>
        <w:t xml:space="preserve">’utilisateur </w:t>
      </w:r>
      <w:r>
        <w:rPr>
          <w:color w:val="000000"/>
          <w:spacing w:val="0"/>
          <w:sz w:val="18"/>
        </w:rPr>
        <w:t xml:space="preserve">est invité à </w:t>
      </w:r>
      <w:r>
        <w:rPr>
          <w:color w:val="000000"/>
          <w:spacing w:val="0"/>
          <w:sz w:val="18"/>
        </w:rPr>
        <w:t>entre</w:t>
      </w:r>
      <w:r>
        <w:rPr>
          <w:color w:val="000000"/>
          <w:spacing w:val="0"/>
          <w:sz w:val="18"/>
        </w:rPr>
        <w:t>r</w:t>
      </w:r>
      <w:r>
        <w:rPr>
          <w:color w:val="000000"/>
          <w:spacing w:val="0"/>
          <w:sz w:val="18"/>
        </w:rPr>
        <w:t xml:space="preserve"> un mot de passe </w:t>
      </w:r>
      <w:r>
        <w:rPr>
          <w:color w:val="000000"/>
          <w:spacing w:val="0"/>
          <w:sz w:val="18"/>
        </w:rPr>
        <w:t>pour</w:t>
      </w:r>
      <w:r>
        <w:rPr>
          <w:color w:val="000000"/>
          <w:spacing w:val="0"/>
          <w:sz w:val="18"/>
        </w:rPr>
        <w:t xml:space="preserve"> crée</w:t>
      </w:r>
      <w:r>
        <w:rPr>
          <w:color w:val="000000"/>
          <w:spacing w:val="0"/>
          <w:sz w:val="18"/>
        </w:rPr>
        <w:t>r</w:t>
      </w:r>
      <w:r>
        <w:rPr>
          <w:color w:val="000000"/>
          <w:spacing w:val="0"/>
          <w:sz w:val="18"/>
        </w:rPr>
        <w:t xml:space="preserve"> </w:t>
      </w:r>
      <w:r>
        <w:rPr>
          <w:color w:val="000000"/>
          <w:spacing w:val="0"/>
          <w:sz w:val="18"/>
        </w:rPr>
        <w:t>son</w:t>
      </w:r>
      <w:r>
        <w:rPr>
          <w:color w:val="000000"/>
          <w:spacing w:val="0"/>
          <w:sz w:val="18"/>
        </w:rPr>
        <w:t xml:space="preserve"> compte. L’adresse  publique du compte est transmis</w:t>
      </w:r>
      <w:r>
        <w:rPr>
          <w:color w:val="000000"/>
          <w:spacing w:val="0"/>
          <w:sz w:val="18"/>
        </w:rPr>
        <w:t>e</w:t>
      </w:r>
      <w:r>
        <w:rPr>
          <w:color w:val="000000"/>
          <w:spacing w:val="0"/>
          <w:sz w:val="18"/>
        </w:rPr>
        <w:t xml:space="preserve"> au serveur où elle est conservée en association avec l’identifiant du code d’autorisation.</w:t>
      </w:r>
    </w:p>
    <w:p>
      <w:pPr>
        <w:pStyle w:val="Normal"/>
        <w:spacing w:lineRule="auto" w:line="276" w:before="0" w:after="140"/>
        <w:rPr>
          <w:rFonts w:ascii="Times" w:hAnsi="Times"/>
          <w:color w:val="000000"/>
          <w:spacing w:val="0"/>
          <w:sz w:val="18"/>
        </w:rPr>
      </w:pPr>
      <w:r>
        <w:rPr>
          <w:color w:val="000000"/>
          <w:spacing w:val="0"/>
          <w:sz w:val="18"/>
        </w:rPr>
        <w:t xml:space="preserve">L’utilisateur peut ensuite </w:t>
      </w:r>
      <w:r>
        <w:rPr>
          <w:color w:val="000000"/>
          <w:spacing w:val="0"/>
          <w:sz w:val="18"/>
        </w:rPr>
        <w:t>effectuer des sauvegardes de</w:t>
      </w:r>
      <w:r>
        <w:rPr>
          <w:color w:val="000000"/>
          <w:spacing w:val="0"/>
          <w:sz w:val="18"/>
        </w:rPr>
        <w:t xml:space="preserve"> son compte. Il est ensuite renvoyé sur la page d’ouverture du compte.</w:t>
      </w:r>
    </w:p>
    <w:p>
      <w:pPr>
        <w:pStyle w:val="Heading"/>
        <w:rPr/>
      </w:pPr>
      <w:r>
        <w:rPr/>
        <w:t>Importation d’un compte</w:t>
      </w:r>
    </w:p>
    <w:p>
      <w:pPr>
        <w:pStyle w:val="Normal"/>
        <w:spacing w:lineRule="auto" w:line="276" w:before="0" w:after="140"/>
        <w:rPr>
          <w:rFonts w:ascii="Times" w:hAnsi="Times"/>
          <w:color w:val="000000"/>
          <w:spacing w:val="0"/>
          <w:sz w:val="18"/>
        </w:rPr>
      </w:pPr>
      <w:r>
        <w:rPr>
          <w:color w:val="000000"/>
          <w:spacing w:val="0"/>
          <w:sz w:val="18"/>
        </w:rPr>
        <w:t>Sur un navigateur il est possible d’ouvrir un fichier de sauvegarde de compte, sur l’app il est aussi possible de scanner le (ou la série de) QR contenant la sauvegarde du compte. Quand l’utilisateur scan une série de QR, l’ordre des QR n’est pas important.</w:t>
      </w:r>
    </w:p>
    <w:p>
      <w:pPr>
        <w:pStyle w:val="Normal"/>
        <w:spacing w:lineRule="auto" w:line="276" w:before="0" w:after="140"/>
        <w:rPr>
          <w:rFonts w:ascii="Times" w:hAnsi="Times"/>
          <w:color w:val="000000"/>
          <w:spacing w:val="0"/>
          <w:sz w:val="18"/>
        </w:rPr>
      </w:pPr>
      <w:r>
        <w:rPr>
          <w:color w:val="000000"/>
          <w:spacing w:val="0"/>
          <w:sz w:val="18"/>
        </w:rPr>
        <w:t>Une fois le compte importé il est chargé et l’utilisateur se retrouve sur la page d’ouverture du compte.</w:t>
      </w:r>
    </w:p>
    <w:p>
      <w:pPr>
        <w:pStyle w:val="Heading"/>
        <w:rPr/>
      </w:pPr>
      <w:r>
        <w:rPr/>
        <w:t>Ouverture d’un compte</w:t>
      </w:r>
    </w:p>
    <w:p>
      <w:pPr>
        <w:pStyle w:val="Normal"/>
        <w:spacing w:lineRule="auto" w:line="276" w:before="0" w:after="140"/>
        <w:rPr>
          <w:rFonts w:ascii="Times" w:hAnsi="Times"/>
          <w:color w:val="000000"/>
          <w:spacing w:val="0"/>
          <w:sz w:val="18"/>
        </w:rPr>
      </w:pPr>
      <w:r>
        <w:rPr>
          <w:color w:val="000000"/>
          <w:spacing w:val="0"/>
          <w:sz w:val="18"/>
        </w:rPr>
        <w:t>La page d’ouverture d’un compte présente le cryptogramme du compte à ouvrir et demande à l’utilisateur d’entrer son mot de passe pour déverrouiller son compte.</w:t>
      </w:r>
    </w:p>
    <w:p>
      <w:pPr>
        <w:pStyle w:val="Normal"/>
        <w:spacing w:lineRule="auto" w:line="276" w:before="0" w:after="140"/>
        <w:rPr>
          <w:rFonts w:ascii="Times" w:hAnsi="Times"/>
          <w:color w:val="000000"/>
          <w:spacing w:val="0"/>
          <w:sz w:val="18"/>
        </w:rPr>
      </w:pPr>
      <w:r>
        <w:rPr>
          <w:color w:val="000000"/>
          <w:spacing w:val="0"/>
          <w:sz w:val="18"/>
        </w:rPr>
      </w:r>
    </w:p>
    <w:p>
      <w:pPr>
        <w:pStyle w:val="Heading1"/>
        <w:numPr>
          <w:ilvl w:val="0"/>
          <w:numId w:val="1"/>
        </w:numPr>
        <w:rPr/>
      </w:pPr>
      <w:r>
        <w:rPr/>
        <w:t>Une fois le compte ouvert</w:t>
      </w:r>
    </w:p>
    <w:p>
      <w:pPr>
        <w:pStyle w:val="Heading"/>
        <w:rPr/>
      </w:pPr>
      <w:r>
        <w:rPr/>
        <w:t>Etat d’un compte</w:t>
      </w:r>
    </w:p>
    <w:p>
      <w:pPr>
        <w:pStyle w:val="Normal"/>
        <w:spacing w:lineRule="auto" w:line="276" w:before="0" w:after="140"/>
        <w:rPr>
          <w:rFonts w:ascii="Times" w:hAnsi="Times"/>
          <w:color w:val="000000"/>
          <w:spacing w:val="0"/>
          <w:sz w:val="18"/>
        </w:rPr>
      </w:pPr>
      <w:r>
        <w:rPr>
          <w:color w:val="000000"/>
          <w:spacing w:val="0"/>
          <w:sz w:val="18"/>
        </w:rPr>
        <w:t>Un compte est créé de type personnel et avec le statut bloqué. Les administrateurs peuvent modifier le compte (via le « bureau ») pour changer son type (compte personnel, compte d’entreprise ou compte administrateur) et pour débloquer ou bloquer un compte. Un compte bloqué ne peut ni recevoir ni transmettre de la monnaie. Un bandeau avertissant du statut bloqué d’un compte est affiché dans l’application le cas échéant.</w:t>
      </w:r>
    </w:p>
    <w:p>
      <w:pPr>
        <w:pStyle w:val="Heading"/>
        <w:rPr/>
      </w:pPr>
      <w:r>
        <w:rPr/>
        <w:t>Mot de passe</w:t>
      </w:r>
    </w:p>
    <w:p>
      <w:pPr>
        <w:pStyle w:val="Normal"/>
        <w:spacing w:lineRule="auto" w:line="276" w:before="0" w:after="140"/>
        <w:rPr>
          <w:rFonts w:ascii="Times" w:hAnsi="Times"/>
          <w:color w:val="000000"/>
          <w:spacing w:val="0"/>
          <w:sz w:val="18"/>
        </w:rPr>
      </w:pPr>
      <w:r>
        <w:rPr>
          <w:color w:val="000000"/>
          <w:spacing w:val="0"/>
          <w:sz w:val="18"/>
        </w:rPr>
        <w:t xml:space="preserve">L’ouverture d’un compte demande d’entrer le mot de passe. Ensuite à chaque opération impliquant un transfert de monnaie ou la gestion des droits d’autre utilisateurs sur son compte,  le mot de passe est redemandé.  Toutefois si un utilisateur déverrouille son compte et effectue dans la foulée un payement son mot de passe n’est pas redemandé. Il est  aussi possible pour une monnaie de demander une configuration où l’utilisateur n’as besoin de rentrer que les N premiers caractères de son mot de passe. L’utilisateur peut aussi configurer l’application pour que le mot de passe ne soit pas redemandé s’il l’a déjà rentré dans un laps de temps définit. (Cette configuration se fait sur la page « compte ») </w:t>
      </w:r>
      <w:r>
        <w:rPr>
          <w:i/>
          <w:iCs/>
          <w:color w:val="000000"/>
          <w:spacing w:val="0"/>
          <w:sz w:val="18"/>
        </w:rPr>
        <w:t>Il est prévu de pouvoir remplacer la saisie du mot de passe par une empreinte digitale (je dois débuger)</w:t>
      </w:r>
    </w:p>
    <w:p>
      <w:pPr>
        <w:pStyle w:val="Heading3"/>
        <w:numPr>
          <w:ilvl w:val="2"/>
          <w:numId w:val="1"/>
        </w:numPr>
        <w:rPr/>
      </w:pPr>
      <w:r>
        <w:rPr/>
        <w:t>Configuration d’un compte.</w:t>
      </w:r>
    </w:p>
    <w:p>
      <w:pPr>
        <w:pStyle w:val="Normal"/>
        <w:spacing w:lineRule="auto" w:line="276" w:before="0" w:after="140"/>
        <w:rPr>
          <w:rFonts w:ascii="Times" w:hAnsi="Times"/>
          <w:color w:val="000000"/>
          <w:spacing w:val="0"/>
          <w:sz w:val="18"/>
        </w:rPr>
      </w:pPr>
      <w:r>
        <w:rPr>
          <w:color w:val="000000"/>
          <w:spacing w:val="0"/>
          <w:sz w:val="18"/>
        </w:rPr>
        <w:t xml:space="preserve">La page « compte » permet d’avoir une vision d’ensemble du compte. On y trouve les avoirs dans la monnaie, les limites (si la monnaie utilise le crédit mutuel). On peut y faire une sauvegarde du compte ou afficher les QR de sauvegarde (pour transférer le compte sur un autre smartphone) </w:t>
      </w:r>
      <w:r>
        <w:rPr>
          <w:color w:val="000000"/>
          <w:spacing w:val="0"/>
          <w:sz w:val="18"/>
        </w:rPr>
        <w:t>et régler le temps de mémorisation du mot de passe.</w:t>
      </w:r>
    </w:p>
    <w:p>
      <w:pPr>
        <w:pStyle w:val="Heading"/>
        <w:rPr/>
      </w:pPr>
      <w:r>
        <w:rPr/>
        <w:t>Procurations</w:t>
      </w:r>
    </w:p>
    <w:p>
      <w:pPr>
        <w:pStyle w:val="Normal"/>
        <w:spacing w:lineRule="auto" w:line="276" w:before="0" w:after="140"/>
        <w:rPr>
          <w:rFonts w:ascii="Times" w:hAnsi="Times"/>
          <w:color w:val="000000"/>
          <w:spacing w:val="0"/>
          <w:sz w:val="18"/>
        </w:rPr>
      </w:pPr>
      <w:r>
        <w:rPr>
          <w:color w:val="000000"/>
          <w:spacing w:val="0"/>
          <w:sz w:val="18"/>
        </w:rPr>
        <w:t xml:space="preserve">Une procuration est un droit accordé à un autre compte de déclencher un payement en votre nom (en débitant votre compte pour au-temps que celui-ci ait </w:t>
      </w:r>
      <w:bookmarkStart w:id="0" w:name="__DdeLink__592_491080361"/>
      <w:r>
        <w:rPr>
          <w:color w:val="000000"/>
          <w:spacing w:val="0"/>
          <w:sz w:val="18"/>
        </w:rPr>
        <w:t>une</w:t>
      </w:r>
      <w:bookmarkEnd w:id="0"/>
      <w:r>
        <w:rPr>
          <w:color w:val="000000"/>
          <w:spacing w:val="0"/>
          <w:sz w:val="18"/>
        </w:rPr>
        <w:t xml:space="preserve"> balance suffisante et ne soit pas bloqué). La personne qui effectue le payement ne peut créditer son propre compte. Les procurations ont une limite correspondant au montant maximal qui peut être débité par payement. Il est possible d’ajouter, de modifier la limite ou de supprimer une procuration à tout moment. Lors de l’export des transactions, un payement effectué par une personne ayant une procuration montre l’adresse du compte ayant initié le payement. </w:t>
      </w:r>
    </w:p>
    <w:p>
      <w:pPr>
        <w:pStyle w:val="Heading"/>
        <w:rPr/>
      </w:pPr>
      <w:r>
        <w:rPr/>
        <w:t>Autorisations</w:t>
      </w:r>
    </w:p>
    <w:p>
      <w:pPr>
        <w:pStyle w:val="Normal"/>
        <w:spacing w:lineRule="auto" w:line="276" w:before="0" w:after="140"/>
        <w:rPr>
          <w:rFonts w:ascii="Times" w:hAnsi="Times"/>
          <w:color w:val="000000"/>
          <w:spacing w:val="0"/>
          <w:sz w:val="18"/>
        </w:rPr>
      </w:pPr>
      <w:r>
        <w:rPr>
          <w:color w:val="000000"/>
          <w:spacing w:val="0"/>
          <w:sz w:val="18"/>
        </w:rPr>
        <w:t xml:space="preserve">Une autorisation de débit donne le droit à un compte de vous débiter en sa faveur un montant allant jusqu’à la limite fixée (ou le montant de vos avoirs si celui-ci est inférieur). Si le débit est inférieur à la limite celle-ci est ajustée (on soustrait le montant du débit à la limite). Il est possible d’ajouter ou de supprimer  une autorisation en tout temps. Si on ajoute une autorisation alors qu’il en existe déjà une pour le compte choisi, les limites </w:t>
      </w:r>
      <w:r>
        <w:rPr>
          <w:color w:val="000000"/>
          <w:spacing w:val="0"/>
          <w:sz w:val="18"/>
        </w:rPr>
        <w:t>s’additionnent.</w:t>
      </w:r>
    </w:p>
    <w:p>
      <w:pPr>
        <w:pStyle w:val="Heading"/>
        <w:rPr/>
      </w:pPr>
      <w:r>
        <w:rPr/>
        <w:t>Droit de consultation</w:t>
      </w:r>
    </w:p>
    <w:p>
      <w:pPr>
        <w:pStyle w:val="Normal"/>
        <w:spacing w:lineRule="auto" w:line="276" w:before="0" w:after="140"/>
        <w:rPr>
          <w:rFonts w:ascii="Times" w:hAnsi="Times"/>
          <w:color w:val="000000"/>
          <w:spacing w:val="0"/>
          <w:sz w:val="18"/>
        </w:rPr>
      </w:pPr>
      <w:r>
        <w:rPr>
          <w:color w:val="000000"/>
          <w:spacing w:val="0"/>
          <w:sz w:val="18"/>
        </w:rPr>
        <w:t>Un droit de consultation permet à un utilisateur de consulter  la liste de vos transactions (y compris les messages qui y sont associés) depuis un autre compte. Un droit de consultation est créé pour une période déterminée. Il est possible de le configurer pour permettre à la personne qui consultera vos transactions d’avoir accès à celles antérieur à l’origine du droit et/ou de voir les soldes de votre compte. Un droit de consultation est transmis sous la forme d’un fichier de droit ou d’une série de QR. Il est protégé et ne peut être utilisé par un autre compte que son destinataire ou en dehors de sa période de validité.</w:t>
      </w:r>
    </w:p>
    <w:p>
      <w:pPr>
        <w:pStyle w:val="Normal"/>
        <w:spacing w:lineRule="auto" w:line="276" w:before="0" w:after="140"/>
        <w:rPr>
          <w:rFonts w:ascii="Times" w:hAnsi="Times"/>
          <w:color w:val="000000"/>
          <w:spacing w:val="0"/>
          <w:sz w:val="18"/>
        </w:rPr>
      </w:pPr>
      <w:r>
        <w:rPr>
          <w:color w:val="000000"/>
          <w:spacing w:val="0"/>
          <w:sz w:val="18"/>
        </w:rPr>
        <w:t>Pour pouvoir utiliser un droit de consultation il faut l’enregistrer dans la liste en ouvrant le fichier de droit ou en scanant la série de QR.</w:t>
      </w:r>
    </w:p>
    <w:p>
      <w:pPr>
        <w:pStyle w:val="Normal"/>
        <w:spacing w:lineRule="auto" w:line="276" w:before="0" w:after="140"/>
        <w:rPr>
          <w:rFonts w:ascii="Times" w:hAnsi="Times"/>
          <w:color w:val="000000"/>
          <w:spacing w:val="0"/>
          <w:sz w:val="18"/>
        </w:rPr>
      </w:pPr>
      <w:r>
        <w:rPr>
          <w:color w:val="000000"/>
          <w:spacing w:val="0"/>
          <w:sz w:val="18"/>
        </w:rPr>
      </w:r>
    </w:p>
    <w:p>
      <w:pPr>
        <w:pStyle w:val="Normal"/>
        <w:spacing w:lineRule="auto" w:line="276" w:before="0" w:after="140"/>
        <w:rPr>
          <w:rFonts w:ascii="Times" w:hAnsi="Times"/>
          <w:color w:val="000000"/>
          <w:spacing w:val="0"/>
          <w:sz w:val="18"/>
        </w:rPr>
      </w:pPr>
      <w:r>
        <w:rPr>
          <w:color w:val="000000"/>
          <w:spacing w:val="0"/>
          <w:sz w:val="18"/>
        </w:rPr>
      </w:r>
    </w:p>
    <w:p>
      <w:pPr>
        <w:pStyle w:val="Normal"/>
        <w:spacing w:lineRule="auto" w:line="276" w:before="0" w:after="140"/>
        <w:rPr>
          <w:rFonts w:ascii="Times" w:hAnsi="Times"/>
          <w:color w:val="000000"/>
          <w:spacing w:val="0"/>
          <w:sz w:val="18"/>
        </w:rPr>
      </w:pPr>
      <w:r>
        <w:rPr>
          <w:color w:val="000000"/>
          <w:spacing w:val="0"/>
          <w:sz w:val="18"/>
        </w:rPr>
      </w:r>
    </w:p>
    <w:p>
      <w:pPr>
        <w:pStyle w:val="Normal"/>
        <w:spacing w:lineRule="auto" w:line="276" w:before="0" w:after="140"/>
        <w:rPr>
          <w:rFonts w:ascii="Times" w:hAnsi="Times"/>
          <w:color w:val="000000"/>
          <w:spacing w:val="0"/>
          <w:sz w:val="18"/>
        </w:rPr>
      </w:pPr>
      <w:r>
        <w:rPr>
          <w:color w:val="000000"/>
          <w:spacing w:val="0"/>
          <w:sz w:val="18"/>
        </w:rPr>
      </w:r>
    </w:p>
    <w:sectPr>
      <w:type w:val="nextPage"/>
      <w:pgSz w:w="12240" w:h="15840"/>
      <w:pgMar w:left="1440" w:right="144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DejaVu Sans" w:cs="DejaVu Sans"/>
        <w:color w:val="000000"/>
        <w:sz w:val="24"/>
        <w:szCs w:val="24"/>
        <w:lang w:val="fr-CH" w:eastAsia="fr-CH" w:bidi="fr-CH"/>
      </w:rPr>
    </w:rPrDefault>
    <w:pPrDefault>
      <w:pPr/>
    </w:pPrDefault>
  </w:docDefaults>
  <w:style w:type="paragraph" w:styleId="Normal">
    <w:name w:val="Normal"/>
    <w:qFormat/>
    <w:pPr>
      <w:widowControl w:val="false"/>
      <w:kinsoku w:val="true"/>
      <w:overflowPunct w:val="true"/>
      <w:autoSpaceDE w:val="true"/>
      <w:bidi w:val="0"/>
    </w:pPr>
    <w:rPr>
      <w:rFonts w:ascii="Times" w:hAnsi="Times" w:eastAsia="DejaVu Sans" w:cs="DejaVu Sans"/>
      <w:color w:val="000000"/>
      <w:sz w:val="24"/>
      <w:szCs w:val="24"/>
      <w:lang w:val="fr-CH" w:eastAsia="fr-CH" w:bidi="fr-CH"/>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TableContents">
    <w:name w:val="Table Contents"/>
    <w:basedOn w:val="Normal"/>
    <w:qFormat/>
    <w:pPr>
      <w:suppressLineNumbers/>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LibreOffice/6.0.7.3.0$Linux_X86_64 LibreOffice_project/00$Build-3</Application>
  <Pages>3</Pages>
  <Words>1054</Words>
  <Characters>5338</Characters>
  <CharactersWithSpaces>6368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fdubath </dc:creator>
  <dc:description/>
  <dc:language>fr-CH</dc:language>
  <cp:lastModifiedBy>fdubath </cp:lastModifiedBy>
  <dcterms:modified xsi:type="dcterms:W3CDTF">2019-12-13T17:03:36Z</dcterms:modified>
  <cp:revision>10</cp:revision>
  <dc:subject/>
  <dc:title/>
</cp:coreProperties>
</file>