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rFonts w:ascii="맑은 고딕" w:hAnsi="맑은 고딕" w:eastAsia="맑은 고딕"/>
          <w:b/>
          <w:color w:val="1F497D"/>
          <w:sz w:val="40"/>
        </w:rPr>
        <w:t>2025년 2분기 업무보고</w:t>
      </w:r>
    </w:p>
    <w:p>
      <w:pPr>
        <w:spacing w:after="360"/>
        <w:jc w:val="center"/>
      </w:pPr>
      <w:r>
        <w:rPr>
          <w:rFonts w:ascii="맑은 고딕" w:hAnsi="맑은 고딕" w:eastAsia="맑은 고딕"/>
          <w:color w:val="444444"/>
          <w:sz w:val="22"/>
        </w:rPr>
        <w:t>작성일: 2025-06-07</w:t>
      </w:r>
    </w:p>
    <w:p>
      <w:pPr>
        <w:pStyle w:val="Heading2"/>
        <w:spacing w:before="240" w:after="120"/>
      </w:pPr>
      <w:r>
        <w:t>1.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520"/>
      </w:tblGrid>
      <w:tr>
        <w:tc>
          <w:tcPr>
            <w:tcW w:type="dxa" w:w="4536"/>
            <w:shd w:fill="1F497D" w:val="clear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4536"/>
            <w:shd w:fill="1F497D" w:val="clear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4536"/>
            <w:shd w:fill="BDD7EE" w:val="clear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보고 기간</w:t>
            </w:r>
          </w:p>
        </w:tc>
        <w:tc>
          <w:tcPr>
            <w:tcW w:type="dxa" w:w="4536"/>
            <w:shd w:fill="BDD7EE" w:val="clear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2025년 4월 ~ 6월</w:t>
            </w:r>
          </w:p>
        </w:tc>
      </w:tr>
      <w:tr>
        <w:tc>
          <w:tcPr>
            <w:tcW w:type="dxa" w:w="4536"/>
            <w:shd w:fill="DEEAF1" w:val="clear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보고 부서</w:t>
            </w:r>
          </w:p>
        </w:tc>
        <w:tc>
          <w:tcPr>
            <w:tcW w:type="dxa" w:w="4536"/>
            <w:shd w:fill="DEEAF1" w:val="clear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전략기획팀</w:t>
            </w:r>
          </w:p>
        </w:tc>
      </w:tr>
      <w:tr>
        <w:tc>
          <w:tcPr>
            <w:tcW w:type="dxa" w:w="4536"/>
            <w:shd w:fill="BDD7EE" w:val="clear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주요 과제</w:t>
            </w:r>
          </w:p>
        </w:tc>
        <w:tc>
          <w:tcPr>
            <w:tcW w:type="dxa" w:w="4536"/>
            <w:shd w:fill="BDD7EE" w:val="clear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디지털 전환 추진 / 신규 서비스 기획 / 파트너십 확대</w:t>
            </w:r>
          </w:p>
        </w:tc>
      </w:tr>
      <w:tr>
        <w:tc>
          <w:tcPr>
            <w:tcW w:type="dxa" w:w="4536"/>
            <w:shd w:fill="DEEAF1" w:val="clear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달성률</w:t>
            </w:r>
          </w:p>
        </w:tc>
        <w:tc>
          <w:tcPr>
            <w:tcW w:type="dxa" w:w="4536"/>
            <w:shd w:fill="DEEAF1" w:val="clear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목표 대비 92% 달성</w:t>
            </w:r>
          </w:p>
        </w:tc>
      </w:tr>
      <w:tr>
        <w:tc>
          <w:tcPr>
            <w:tcW w:type="dxa" w:w="4536"/>
            <w:shd w:fill="BDD7EE" w:val="clear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특이 사항</w:t>
            </w:r>
          </w:p>
        </w:tc>
        <w:tc>
          <w:tcPr>
            <w:tcW w:type="dxa" w:w="4536"/>
            <w:shd w:fill="BDD7EE" w:val="clear"/>
          </w:tcPr>
          <w:p>
            <w:pPr>
              <w:spacing w:before="60" w:after="60"/>
              <w:jc w:val="lef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3분기 예산 재편성 필요</w:t>
            </w:r>
          </w:p>
        </w:tc>
      </w:tr>
    </w:tbl>
    <w:p/>
    <w:p>
      <w:pPr>
        <w:pStyle w:val="Heading2"/>
      </w:pPr>
      <w:r>
        <w:t>2. 주요 성과</w:t>
      </w:r>
    </w:p>
    <w:p>
      <w:pPr>
        <w:pStyle w:val="ListNumber"/>
        <w:spacing w:after="80"/>
      </w:pPr>
      <w:r>
        <w:rPr>
          <w:rFonts w:ascii="맑은 고딕" w:hAnsi="맑은 고딕" w:eastAsia="맑은 고딕"/>
          <w:sz w:val="21"/>
        </w:rPr>
        <w:t>디지털 전환 1단계 완료 — 핵심 업무 시스템 클라우드 이전 완료 (목표 대비 100%)</w:t>
      </w:r>
    </w:p>
    <w:p>
      <w:pPr>
        <w:pStyle w:val="ListNumber"/>
        <w:spacing w:after="80"/>
      </w:pPr>
      <w:r>
        <w:rPr>
          <w:rFonts w:ascii="맑은 고딕" w:hAnsi="맑은 고딕" w:eastAsia="맑은 고딕"/>
          <w:sz w:val="21"/>
        </w:rPr>
        <w:t>신규 서비스 기획안 확정 — B2B SaaS 플랫폼 MVP 기획 완료, 개발팀 이관</w:t>
      </w:r>
    </w:p>
    <w:p>
      <w:pPr>
        <w:pStyle w:val="ListNumber"/>
        <w:spacing w:after="80"/>
      </w:pPr>
      <w:r>
        <w:rPr>
          <w:rFonts w:ascii="맑은 고딕" w:hAnsi="맑은 고딕" w:eastAsia="맑은 고딕"/>
          <w:sz w:val="21"/>
        </w:rPr>
        <w:t>파트너십 3건 신규 체결 — A사, B사, C사와 전략적 제휴 MOU 서명</w:t>
      </w:r>
    </w:p>
    <w:p>
      <w:pPr>
        <w:pStyle w:val="ListNumber"/>
        <w:spacing w:after="80"/>
      </w:pPr>
      <w:r>
        <w:rPr>
          <w:rFonts w:ascii="맑은 고딕" w:hAnsi="맑은 고딕" w:eastAsia="맑은 고딕"/>
          <w:sz w:val="21"/>
        </w:rPr>
        <w:t>내부 역량 강화 — 팀원 대상 데이터 분석 교육 2회 실시(참여율 95%)</w:t>
      </w:r>
    </w:p>
    <w:p>
      <w:pPr>
        <w:pStyle w:val="ListNumber"/>
        <w:spacing w:after="80"/>
      </w:pPr>
      <w:r>
        <w:rPr>
          <w:rFonts w:ascii="맑은 고딕" w:hAnsi="맑은 고딕" w:eastAsia="맑은 고딕"/>
          <w:sz w:val="21"/>
        </w:rPr>
        <w:t>비용 절감 달성 — 운영비 전년 동기 대비 8.3% 절감</w:t>
      </w:r>
    </w:p>
    <w:p/>
    <w:p>
      <w:pPr>
        <w:pStyle w:val="Heading2"/>
      </w:pPr>
      <w:r>
        <w:t>3. 다음 계획 (3분기)</w:t>
      </w:r>
    </w:p>
    <w:p>
      <w:pPr>
        <w:pStyle w:val="ListBullet"/>
        <w:spacing w:after="80"/>
      </w:pPr>
      <w:r>
        <w:rPr>
          <w:rFonts w:ascii="맑은 고딕" w:hAnsi="맑은 고딕" w:eastAsia="맑은 고딕"/>
          <w:sz w:val="21"/>
        </w:rPr>
        <w:t>디지털 전환 2단계 착수 — 외부 시스템 연동 및 데이터 파이프라인 구축</w:t>
      </w:r>
    </w:p>
    <w:p>
      <w:pPr>
        <w:pStyle w:val="ListBullet"/>
        <w:spacing w:after="80"/>
      </w:pPr>
      <w:r>
        <w:rPr>
          <w:rFonts w:ascii="맑은 고딕" w:hAnsi="맑은 고딕" w:eastAsia="맑은 고딕"/>
          <w:sz w:val="21"/>
        </w:rPr>
        <w:t>신규 서비스 개발 착수 — MVP 개발 착수 및 베타 테스터 모집</w:t>
      </w:r>
    </w:p>
    <w:p>
      <w:pPr>
        <w:pStyle w:val="ListBullet"/>
        <w:spacing w:after="80"/>
      </w:pPr>
      <w:r>
        <w:rPr>
          <w:rFonts w:ascii="맑은 고딕" w:hAnsi="맑은 고딕" w:eastAsia="맑은 고딕"/>
          <w:sz w:val="21"/>
        </w:rPr>
        <w:t>파트너십 협업 구체화 — 공동 마케팅 및 기술 협력 계획 수립</w:t>
      </w:r>
    </w:p>
    <w:p>
      <w:pPr>
        <w:pStyle w:val="ListBullet"/>
        <w:spacing w:after="80"/>
      </w:pPr>
      <w:r>
        <w:rPr>
          <w:rFonts w:ascii="맑은 고딕" w:hAnsi="맑은 고딕" w:eastAsia="맑은 고딕"/>
          <w:sz w:val="21"/>
        </w:rPr>
        <w:t>팀 역량 강화 — AI 활용 업무 자동화 워크숍 개최</w:t>
      </w:r>
    </w:p>
    <w:p>
      <w:pPr>
        <w:pStyle w:val="ListBullet"/>
        <w:spacing w:after="80"/>
      </w:pPr>
      <w:r>
        <w:rPr>
          <w:rFonts w:ascii="맑은 고딕" w:hAnsi="맑은 고딕" w:eastAsia="맑은 고딕"/>
          <w:sz w:val="21"/>
        </w:rPr>
        <w:t>3분기 예산 재편성 — 신규 과제 반영한 예산 조정안 제출 (7월 말 기한)</w:t>
      </w:r>
    </w:p>
    <w:sectPr w:rsidR="00FC693F" w:rsidRPr="0006063C" w:rsidSect="00034616">
      <w:head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맑은 고딕" w:hAnsi="맑은 고딕" w:eastAsia="맑은 고딕"/>
        <w:b/>
        <w:color w:val="1F497D"/>
        <w:sz w:val="20"/>
      </w:rPr>
      <w:t>전략기획팀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