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맑은 고딕" w:hAnsi="맑은 고딕" w:eastAsia="맑은 고딕"/>
          <w:b/>
          <w:color w:val="1F3964"/>
          <w:sz w:val="44"/>
        </w:rPr>
        <w:t>2025년 2분기 업무보고</w:t>
      </w:r>
    </w:p>
    <w:p>
      <w:pPr>
        <w:spacing w:after="320"/>
        <w:jc w:val="center"/>
      </w:pPr>
      <w:r>
        <w:rPr>
          <w:rFonts w:ascii="맑은 고딕" w:hAnsi="맑은 고딕" w:eastAsia="맑은 고딕"/>
          <w:color w:val="404040"/>
          <w:sz w:val="22"/>
        </w:rPr>
        <w:t>작성일: 2025-06-07</w:t>
      </w:r>
    </w:p>
    <w:p>
      <w:pPr>
        <w:spacing w:after="240"/>
        <w:pBdr>
          <w:bottom w:val="single" w:sz="6" w:space="1" w:color="4472C4"/>
        </w:pBdr>
      </w:pPr>
    </w:p>
    <w:p>
      <w:pPr>
        <w:spacing w:before="80" w:after="160"/>
      </w:pPr>
      <w:r>
        <w:rPr>
          <w:rFonts w:ascii="맑은 고딕" w:hAnsi="맑은 고딕" w:eastAsia="맑은 고딕"/>
          <w:b/>
          <w:color w:val="1F3964"/>
          <w:sz w:val="28"/>
        </w:rPr>
        <w:t>1. 업무 요약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rHeight w:val="510"/>
        </w:trPr>
        <w:tc>
          <w:tcPr>
            <w:tcW w:type="dxa" w:w="2268"/>
            <w:shd w:val="clear" w:color="auto" w:fill="1F396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구분</w:t>
            </w:r>
          </w:p>
        </w:tc>
        <w:tc>
          <w:tcPr>
            <w:tcW w:type="dxa" w:w="6803"/>
            <w:shd w:val="clear" w:color="auto" w:fill="1F3964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2"/>
              </w:rPr>
              <w:t>내용</w:t>
            </w:r>
          </w:p>
        </w:tc>
      </w:tr>
      <w:tr>
        <w:trPr>
          <w:trHeight w:val="510"/>
        </w:trPr>
        <w:tc>
          <w:tcPr>
            <w:tcW w:type="dxa" w:w="2268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3964"/>
                <w:sz w:val="20"/>
              </w:rPr>
              <w:t>보고 기간</w:t>
            </w:r>
          </w:p>
        </w:tc>
        <w:tc>
          <w:tcPr>
            <w:tcW w:type="dxa" w:w="6803"/>
            <w:shd w:val="clear" w:color="auto" w:fill="DEEAF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2025년 4월 1일 ~ 2025년 6월 30일</w:t>
            </w:r>
          </w:p>
        </w:tc>
      </w:tr>
      <w:tr>
        <w:trPr>
          <w:trHeight w:val="510"/>
        </w:trPr>
        <w:tc>
          <w:tcPr>
            <w:tcW w:type="dxa" w:w="2268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3964"/>
                <w:sz w:val="20"/>
              </w:rPr>
              <w:t>담당 부서</w:t>
            </w:r>
          </w:p>
        </w:tc>
        <w:tc>
          <w:tcPr>
            <w:tcW w:type="dxa" w:w="6803"/>
            <w:shd w:val="clear" w:color="auto" w:fill="DEEAF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전략기획팀</w:t>
            </w:r>
          </w:p>
        </w:tc>
      </w:tr>
      <w:tr>
        <w:trPr>
          <w:trHeight w:val="510"/>
        </w:trPr>
        <w:tc>
          <w:tcPr>
            <w:tcW w:type="dxa" w:w="2268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3964"/>
                <w:sz w:val="20"/>
              </w:rPr>
              <w:t>보고 목적</w:t>
            </w:r>
          </w:p>
        </w:tc>
        <w:tc>
          <w:tcPr>
            <w:tcW w:type="dxa" w:w="6803"/>
            <w:shd w:val="clear" w:color="auto" w:fill="DEEAF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2분기 주요 업무 실적 및 향후 계획 보고</w:t>
            </w:r>
          </w:p>
        </w:tc>
      </w:tr>
      <w:tr>
        <w:trPr>
          <w:trHeight w:val="510"/>
        </w:trPr>
        <w:tc>
          <w:tcPr>
            <w:tcW w:type="dxa" w:w="2268"/>
            <w:shd w:val="clear" w:color="auto" w:fill="BDD7EE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F3964"/>
                <w:sz w:val="20"/>
              </w:rPr>
              <w:t>전반적 달성률</w:t>
            </w:r>
          </w:p>
        </w:tc>
        <w:tc>
          <w:tcPr>
            <w:tcW w:type="dxa" w:w="6803"/>
            <w:shd w:val="clear" w:color="auto" w:fill="DEEAF1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sz w:val="20"/>
              </w:rPr>
              <w:t>목표 대비 92% 달성</w:t>
            </w:r>
          </w:p>
        </w:tc>
      </w:tr>
    </w:tbl>
    <w:p/>
    <w:p>
      <w:pPr>
        <w:spacing w:before="80" w:after="160"/>
      </w:pPr>
      <w:r>
        <w:rPr>
          <w:rFonts w:ascii="맑은 고딕" w:hAnsi="맑은 고딕" w:eastAsia="맑은 고딕"/>
          <w:b/>
          <w:color w:val="1F3964"/>
          <w:sz w:val="28"/>
        </w:rPr>
        <w:t>2. 주요 성과</w:t>
      </w:r>
    </w:p>
    <w:p>
      <w:pPr>
        <w:pStyle w:val="ListNumber"/>
        <w:spacing w:after="80"/>
        <w:ind w:left="283"/>
      </w:pPr>
      <w:r>
        <w:rPr>
          <w:rFonts w:ascii="맑은 고딕" w:hAnsi="맑은 고딕" w:eastAsia="맑은 고딕"/>
          <w:sz w:val="21"/>
        </w:rPr>
        <w:t>신규 사업 기획안 3건 수립 및 경영진 승인 완료 (달성률 150%)</w:t>
      </w:r>
    </w:p>
    <w:p>
      <w:pPr>
        <w:pStyle w:val="ListNumber"/>
        <w:spacing w:after="80"/>
        <w:ind w:left="283"/>
      </w:pPr>
      <w:r>
        <w:rPr>
          <w:rFonts w:ascii="맑은 고딕" w:hAnsi="맑은 고딕" w:eastAsia="맑은 고딕"/>
          <w:sz w:val="21"/>
        </w:rPr>
        <w:t>전사 디지털 전환(DX) 로드맵 초안 작성 및 유관 부서 협의 완료</w:t>
      </w:r>
    </w:p>
    <w:p>
      <w:pPr>
        <w:pStyle w:val="ListNumber"/>
        <w:spacing w:after="80"/>
        <w:ind w:left="283"/>
      </w:pPr>
      <w:r>
        <w:rPr>
          <w:rFonts w:ascii="맑은 고딕" w:hAnsi="맑은 고딕" w:eastAsia="맑은 고딕"/>
          <w:sz w:val="21"/>
        </w:rPr>
        <w:t>2분기 전략 KPI 92% 달성 — 전 분기 대비 7%p 향상</w:t>
      </w:r>
    </w:p>
    <w:p>
      <w:pPr>
        <w:pStyle w:val="ListNumber"/>
        <w:spacing w:after="80"/>
        <w:ind w:left="283"/>
      </w:pPr>
      <w:r>
        <w:rPr>
          <w:rFonts w:ascii="맑은 고딕" w:hAnsi="맑은 고딕" w:eastAsia="맑은 고딕"/>
          <w:sz w:val="21"/>
        </w:rPr>
        <w:t>외부 파트너사 MOU 체결 2건 (A사, B사) 및 협력 과제 착수</w:t>
      </w:r>
    </w:p>
    <w:p>
      <w:pPr>
        <w:pStyle w:val="ListNumber"/>
        <w:spacing w:after="80"/>
        <w:ind w:left="283"/>
      </w:pPr>
      <w:r>
        <w:rPr>
          <w:rFonts w:ascii="맑은 고딕" w:hAnsi="맑은 고딕" w:eastAsia="맑은 고딕"/>
          <w:sz w:val="21"/>
        </w:rPr>
        <w:t>부서 내 업무 자동화 도구 도입으로 반복 업무 처리 시간 35% 단축</w:t>
      </w:r>
    </w:p>
    <w:p>
      <w:pPr>
        <w:pStyle w:val="ListNumber"/>
        <w:spacing w:after="80"/>
        <w:ind w:left="283"/>
      </w:pPr>
      <w:r>
        <w:rPr>
          <w:rFonts w:ascii="맑은 고딕" w:hAnsi="맑은 고딕" w:eastAsia="맑은 고딕"/>
          <w:sz w:val="21"/>
        </w:rPr>
        <w:t>임직원 전략 교육 프로그램 운영 (참가자 48명, 만족도 4.6/5.0)</w:t>
      </w:r>
    </w:p>
    <w:p/>
    <w:p>
      <w:pPr>
        <w:spacing w:before="80" w:after="160"/>
      </w:pPr>
      <w:r>
        <w:rPr>
          <w:rFonts w:ascii="맑은 고딕" w:hAnsi="맑은 고딕" w:eastAsia="맑은 고딕"/>
          <w:b/>
          <w:color w:val="1F3964"/>
          <w:sz w:val="28"/>
        </w:rPr>
        <w:t>3. 다음 계획 (3분기)</w:t>
      </w:r>
    </w:p>
    <w:p>
      <w:pPr>
        <w:pStyle w:val="ListBullet"/>
        <w:spacing w:after="80"/>
        <w:ind w:left="283"/>
      </w:pPr>
      <w:r>
        <w:rPr>
          <w:rFonts w:ascii="맑은 고딕" w:hAnsi="맑은 고딕" w:eastAsia="맑은 고딕"/>
          <w:sz w:val="21"/>
        </w:rPr>
        <w:t>3분기 전략 목표 수립 및 부서별 KPI 배분 (7월 첫째 주)</w:t>
      </w:r>
    </w:p>
    <w:p>
      <w:pPr>
        <w:pStyle w:val="ListBullet"/>
        <w:spacing w:after="80"/>
        <w:ind w:left="283"/>
      </w:pPr>
      <w:r>
        <w:rPr>
          <w:rFonts w:ascii="맑은 고딕" w:hAnsi="맑은 고딕" w:eastAsia="맑은 고딕"/>
          <w:sz w:val="21"/>
        </w:rPr>
        <w:t>신규 사업 파일럿 프로젝트 착수 — A사 공동 과제 실행 개시</w:t>
      </w:r>
    </w:p>
    <w:p>
      <w:pPr>
        <w:pStyle w:val="ListBullet"/>
        <w:spacing w:after="80"/>
        <w:ind w:left="283"/>
      </w:pPr>
      <w:r>
        <w:rPr>
          <w:rFonts w:ascii="맑은 고딕" w:hAnsi="맑은 고딕" w:eastAsia="맑은 고딕"/>
          <w:sz w:val="21"/>
        </w:rPr>
        <w:t>전사 DX 로드맵 최종 확정 및 이사회 보고</w:t>
      </w:r>
    </w:p>
    <w:p>
      <w:pPr>
        <w:pStyle w:val="ListBullet"/>
        <w:spacing w:after="80"/>
        <w:ind w:left="283"/>
      </w:pPr>
      <w:r>
        <w:rPr>
          <w:rFonts w:ascii="맑은 고딕" w:hAnsi="맑은 고딕" w:eastAsia="맑은 고딕"/>
          <w:sz w:val="21"/>
        </w:rPr>
        <w:t>하반기 예산 재배분 검토 및 CFO 협의</w:t>
      </w:r>
    </w:p>
    <w:p>
      <w:pPr>
        <w:pStyle w:val="ListBullet"/>
        <w:spacing w:after="80"/>
        <w:ind w:left="283"/>
      </w:pPr>
      <w:r>
        <w:rPr>
          <w:rFonts w:ascii="맑은 고딕" w:hAnsi="맑은 고딕" w:eastAsia="맑은 고딕"/>
          <w:sz w:val="21"/>
        </w:rPr>
        <w:t>전략 교육 2차 과정 기획 — 리더십 역량 강화 프로그램 추가</w:t>
      </w:r>
    </w:p>
    <w:p>
      <w:pPr>
        <w:pStyle w:val="ListBullet"/>
        <w:spacing w:after="80"/>
        <w:ind w:left="283"/>
      </w:pPr>
      <w:r>
        <w:rPr>
          <w:rFonts w:ascii="맑은 고딕" w:hAnsi="맑은 고딕" w:eastAsia="맑은 고딕"/>
          <w:sz w:val="21"/>
        </w:rPr>
        <w:t>글로벌 시장 조사 보고서 작성 및 해외 진출 가능성 검토</w:t>
      </w:r>
    </w:p>
    <w:p>
      <w:pPr>
        <w:pStyle w:val="ListBullet"/>
        <w:spacing w:after="80"/>
        <w:ind w:left="283"/>
      </w:pPr>
      <w:r>
        <w:rPr>
          <w:rFonts w:ascii="맑은 고딕" w:hAnsi="맑은 고딕" w:eastAsia="맑은 고딕"/>
          <w:sz w:val="21"/>
        </w:rPr>
        <w:t>부서 내 업무 프로세스 표준화 매뉴얼 완성 (8월 말 목표)</w:t>
      </w:r>
    </w:p>
    <w:p/>
    <w:p>
      <w:pPr>
        <w:spacing w:before="480"/>
        <w:jc w:val="right"/>
      </w:pPr>
      <w:r>
        <w:rPr>
          <w:rFonts w:ascii="맑은 고딕" w:hAnsi="맑은 고딕" w:eastAsia="맑은 고딕"/>
          <w:sz w:val="21"/>
        </w:rPr>
        <w:t>전략기획팀장  ___________________  (인)</w:t>
      </w:r>
    </w:p>
    <w:sectPr w:rsidR="00FC693F" w:rsidRPr="0006063C" w:rsidSect="00034616">
      <w:head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472C4"/>
        <w:sz w:val="20"/>
      </w:rPr>
      <w:t>전략기획팀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