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Planar Zn-Porphyrin</w:t>
      </w:r>
    </w:p>
    <w:p>
      <w:pPr>
        <w:pStyle w:val="Title"/>
      </w:pPr>
      <w:r>
        <w:t xml:space="preserve">Initial-State Core-Level Shifts</w:t>
      </w:r>
    </w:p>
    <w:p>
      <w:pPr>
        <w:pStyle w:val="Subtitle"/>
      </w:pPr>
      <w:r>
        <w:t xml:space="preserve">Completed Planar calculation and structural comparison with PLDC</w:t>
      </w:r>
    </w:p>
    <w:p>
      <w:pPr>
        <w:spacing w:after="160"/>
        <w:jc w:val="center"/>
      </w:pPr>
      <w:r>
        <w:rPr>
          <w:color w:val="666666"/>
          <w:sz w:val="19"/>
          <w:szCs w:val="19"/>
        </w:rPr>
        <w:t xml:space="preserve">1 August 2026</w:t>
      </w:r>
    </w:p>
    <w:p>
      <w:pPr>
        <w:spacing w:after="180"/>
        <w:jc w:val="center"/>
      </w:pPr>
      <w:r>
        <w:drawing>
          <wp:inline distT="0" distB="0" distL="0" distR="0">
            <wp:extent cx="5810250" cy="3209925"/>
            <wp:effectExtent t="0" r="0" b="0" l="0"/>
            <wp:docPr id="1" name="Structure comparison" descr="Side-by-side molecular structures with the two COO groups added in PLDC highlighted." title="Planar and PLDC structure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90" w:before="220"/>
      </w:pPr>
      <w:r>
        <w:t xml:space="preserve">Executive summary</w:t>
      </w:r>
    </w:p>
    <w:p>
      <w:pPr>
        <w:spacing w:after="110" w:line="276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The Planar calculation is complete. Initial-state C 1s and N 1s shifts were evaluated for the requested carbon sites and all four nitrogen atoms. The twelve Cw atoms were deliberately excluded from the core-excited set.</w:t>
      </w:r>
    </w:p>
    <w:p>
      <w:pPr>
        <w:spacing w:after="110" w:line="276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The PLDC file is included and plotted structurally for comparison. A numerical PLDC core-level-shift spectrum is not reported because the supplied isolated-molecule geometry does not uniquely specify its charge/protonation state; this choice materially changes the electronic calculation.</w:t>
      </w:r>
    </w:p>
    <w:p>
      <w:pPr>
        <w:pStyle w:val="Heading1"/>
        <w:spacing w:after="90" w:before="220"/>
      </w:pPr>
      <w:r>
        <w:t xml:space="preserve">Completed calculation at a glance</w:t>
      </w:r>
    </w:p>
    <w:tbl>
      <w:tblPr>
        <w:tblW w:type="dxa" w:w="936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D9E0E7" w:sz="3"/>
          <w:insideV w:val="single" w:color="D9E0E7" w:sz="3"/>
        </w:tblBorders>
      </w:tblPr>
      <w:tblGrid>
        <w:gridCol w:w="2450"/>
        <w:gridCol w:w="6910"/>
      </w:tblGrid>
      <w:tr>
        <w:tc>
          <w:tcPr>
            <w:tcW w:type="dxa" w:w="2450"/>
            <w:shd w:fill="DDEA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7365D"/>
                <w:sz w:val="18"/>
                <w:szCs w:val="18"/>
              </w:rPr>
              <w:t xml:space="preserve">Structure</w:t>
            </w:r>
          </w:p>
        </w:tc>
        <w:tc>
          <w:tcPr>
            <w:tcW w:type="dxa" w:w="6910"/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Planar ZnC44H28N4 (77 atoms)</w:t>
            </w:r>
          </w:p>
        </w:tc>
      </w:tr>
      <w:tr>
        <w:tc>
          <w:tcPr>
            <w:tcW w:type="dxa" w:w="2450"/>
            <w:shd w:fill="EDF3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7365D"/>
                <w:sz w:val="18"/>
                <w:szCs w:val="18"/>
              </w:rPr>
              <w:t xml:space="preserve">Selected sites</w:t>
            </w:r>
          </w:p>
        </w:tc>
        <w:tc>
          <w:tcPr>
            <w:tcW w:type="dxa" w:w="691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32 carbon atoms and all 4 nitrogen atoms</w:t>
            </w:r>
          </w:p>
        </w:tc>
      </w:tr>
      <w:tr>
        <w:tc>
          <w:tcPr>
            <w:tcW w:type="dxa" w:w="2450"/>
            <w:shd w:fill="DDEA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7365D"/>
                <w:sz w:val="18"/>
                <w:szCs w:val="18"/>
              </w:rPr>
              <w:t xml:space="preserve">Excluded sites</w:t>
            </w:r>
          </w:p>
        </w:tc>
        <w:tc>
          <w:tcPr>
            <w:tcW w:type="dxa" w:w="6910"/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12 Cw carbon atoms: 7–12 and 36–41</w:t>
            </w:r>
          </w:p>
        </w:tc>
      </w:tr>
      <w:tr>
        <w:tc>
          <w:tcPr>
            <w:tcW w:type="dxa" w:w="2450"/>
            <w:shd w:fill="EDF3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7365D"/>
                <w:sz w:val="18"/>
                <w:szCs w:val="18"/>
              </w:rPr>
              <w:t xml:space="preserve">SCF convergence</w:t>
            </w:r>
          </w:p>
        </w:tc>
        <w:tc>
          <w:tcPr>
            <w:tcW w:type="dxa" w:w="691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35 electronic iterations; total energy −739.91432023 Ry</w:t>
            </w:r>
          </w:p>
        </w:tc>
      </w:tr>
      <w:tr>
        <w:tc>
          <w:tcPr>
            <w:tcW w:type="dxa" w:w="2450"/>
            <w:shd w:fill="DDEA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7365D"/>
                <w:sz w:val="18"/>
                <w:szCs w:val="18"/>
              </w:rPr>
              <w:t xml:space="preserve">Runtime</w:t>
            </w:r>
          </w:p>
        </w:tc>
        <w:tc>
          <w:tcPr>
            <w:tcW w:type="dxa" w:w="6910"/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SCF: 15 min 57 s; initial_state.x analysis: 13 s</w:t>
            </w:r>
          </w:p>
        </w:tc>
      </w:tr>
      <w:tr>
        <w:tc>
          <w:tcPr>
            <w:tcW w:type="dxa" w:w="2450"/>
            <w:shd w:fill="EDF3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7365D"/>
                <w:sz w:val="18"/>
                <w:szCs w:val="18"/>
              </w:rPr>
              <w:t xml:space="preserve">References</w:t>
            </w:r>
          </w:p>
        </w:tc>
        <w:tc>
          <w:tcPr>
            <w:tcW w:type="dxa" w:w="691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Carbon shifts relative to mean(Cb); nitrogen shifts relative to mean(all N)</w:t>
            </w:r>
          </w:p>
        </w:tc>
      </w:tr>
    </w:tbl>
    <w:p>
      <w:r>
        <w:br w:type="page"/>
      </w:r>
    </w:p>
    <w:p>
      <w:pPr>
        <w:pStyle w:val="Heading1"/>
        <w:spacing w:after="90" w:before="220"/>
      </w:pPr>
      <w:r>
        <w:t xml:space="preserve">Method and calculation settings</w:t>
      </w:r>
    </w:p>
    <w:p>
      <w:pPr>
        <w:spacing w:after="110" w:line="276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The calculation follows the Quantum ESPRESSO initial-state core-level-shift workflow. Normal and core-excited pseudopotential species are present in a single self-consistent calculation. Each requested atom is mapped to its corresponding normal/core-excited pair by initial_state.x; Cw atoms remain mapped to a duplicate normal-carbon species and therefore are not excited.</w:t>
      </w:r>
    </w:p>
    <w:tbl>
      <w:tblPr>
        <w:tblW w:type="dxa" w:w="936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D9E0E7" w:sz="3"/>
          <w:insideV w:val="single" w:color="D9E0E7" w:sz="3"/>
        </w:tblBorders>
      </w:tblPr>
      <w:tblGrid>
        <w:gridCol w:w="2450"/>
        <w:gridCol w:w="6910"/>
      </w:tblGrid>
      <w:tr>
        <w:tc>
          <w:tcPr>
            <w:tcW w:type="dxa" w:w="2450"/>
            <w:shd w:fill="DDEA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7365D"/>
                <w:sz w:val="18"/>
                <w:szCs w:val="18"/>
              </w:rPr>
              <w:t xml:space="preserve">Quantum ESPRESSO</w:t>
            </w:r>
          </w:p>
        </w:tc>
        <w:tc>
          <w:tcPr>
            <w:tcW w:type="dxa" w:w="6910"/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Version 7.5; pw.x followed by initial_state.x</w:t>
            </w:r>
          </w:p>
        </w:tc>
      </w:tr>
      <w:tr>
        <w:tc>
          <w:tcPr>
            <w:tcW w:type="dxa" w:w="2450"/>
            <w:shd w:fill="EDF3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7365D"/>
                <w:sz w:val="18"/>
                <w:szCs w:val="18"/>
              </w:rPr>
              <w:t xml:space="preserve">Exchange–correlation</w:t>
            </w:r>
          </w:p>
        </w:tc>
        <w:tc>
          <w:tcPr>
            <w:tcW w:type="dxa" w:w="691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PBE</w:t>
            </w:r>
          </w:p>
        </w:tc>
      </w:tr>
      <w:tr>
        <w:tc>
          <w:tcPr>
            <w:tcW w:type="dxa" w:w="2450"/>
            <w:shd w:fill="DDEA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7365D"/>
                <w:sz w:val="18"/>
                <w:szCs w:val="18"/>
              </w:rPr>
              <w:t xml:space="preserve">Boundary conditions</w:t>
            </w:r>
          </w:p>
        </w:tc>
        <w:tc>
          <w:tcPr>
            <w:tcW w:type="dxa" w:w="6910"/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25 Å cubic cell; isolated-molecule Martyna–Tuckerman correction</w:t>
            </w:r>
          </w:p>
        </w:tc>
      </w:tr>
      <w:tr>
        <w:tc>
          <w:tcPr>
            <w:tcW w:type="dxa" w:w="2450"/>
            <w:shd w:fill="EDF3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7365D"/>
                <w:sz w:val="18"/>
                <w:szCs w:val="18"/>
              </w:rPr>
              <w:t xml:space="preserve">Brillouin-zone sampling</w:t>
            </w:r>
          </w:p>
        </w:tc>
        <w:tc>
          <w:tcPr>
            <w:tcW w:type="dxa" w:w="691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Γ point</w:t>
            </w:r>
          </w:p>
        </w:tc>
      </w:tr>
      <w:tr>
        <w:tc>
          <w:tcPr>
            <w:tcW w:type="dxa" w:w="2450"/>
            <w:shd w:fill="DDEA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7365D"/>
                <w:sz w:val="18"/>
                <w:szCs w:val="18"/>
              </w:rPr>
              <w:t xml:space="preserve">Plane-wave cutoffs</w:t>
            </w:r>
          </w:p>
        </w:tc>
        <w:tc>
          <w:tcPr>
            <w:tcW w:type="dxa" w:w="6910"/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30 Ry wave functions; 180 Ry charge density</w:t>
            </w:r>
          </w:p>
        </w:tc>
      </w:tr>
      <w:tr>
        <w:tc>
          <w:tcPr>
            <w:tcW w:type="dxa" w:w="2450"/>
            <w:shd w:fill="EDF3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7365D"/>
                <w:sz w:val="18"/>
                <w:szCs w:val="18"/>
              </w:rPr>
              <w:t xml:space="preserve">Occupations</w:t>
            </w:r>
          </w:p>
        </w:tc>
        <w:tc>
          <w:tcPr>
            <w:tcW w:type="dxa" w:w="691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Marzari–Vanderbilt smearing, 0.02 Ry</w:t>
            </w:r>
          </w:p>
        </w:tc>
      </w:tr>
      <w:tr>
        <w:tc>
          <w:tcPr>
            <w:tcW w:type="dxa" w:w="2450"/>
            <w:shd w:fill="DDEA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7365D"/>
                <w:sz w:val="18"/>
                <w:szCs w:val="18"/>
              </w:rPr>
              <w:t xml:space="preserve">Electronic convergence</w:t>
            </w:r>
          </w:p>
        </w:tc>
        <w:tc>
          <w:tcPr>
            <w:tcW w:type="dxa" w:w="6910"/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conv_thr = 1×10⁻⁶; local-TF mixing, β = 0.20</w:t>
            </w:r>
          </w:p>
        </w:tc>
      </w:tr>
      <w:tr>
        <w:tc>
          <w:tcPr>
            <w:tcW w:type="dxa" w:w="2450"/>
            <w:shd w:fill="EDF3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7365D"/>
                <w:sz w:val="18"/>
                <w:szCs w:val="18"/>
              </w:rPr>
              <w:t xml:space="preserve">Parallel execution</w:t>
            </w:r>
          </w:p>
        </w:tc>
        <w:tc>
          <w:tcPr>
            <w:tcW w:type="dxa" w:w="691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 MPI processes</w:t>
            </w:r>
          </w:p>
        </w:tc>
      </w:tr>
    </w:tbl>
    <w:p>
      <w:pPr>
        <w:pStyle w:val="Heading2"/>
        <w:spacing w:after="90" w:before="150"/>
      </w:pPr>
      <w:r>
        <w:t xml:space="preserve">Atom groups</w:t>
      </w:r>
    </w:p>
    <w:p>
      <w:pPr>
        <w:spacing w:after="110" w:line="276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The following assignments reproduce the requested indexing. Cw is intentionally absent from the calculated shift table.</w:t>
      </w:r>
    </w:p>
    <w:tbl>
      <w:tblPr>
        <w:tblW w:type="dxa" w:w="936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D9E0E7" w:sz="3"/>
          <w:insideV w:val="single" w:color="D9E0E7" w:sz="3"/>
        </w:tblBorders>
      </w:tblPr>
      <w:tblGrid>
        <w:gridCol w:w="1700"/>
        <w:gridCol w:w="1000"/>
        <w:gridCol w:w="1500"/>
        <w:gridCol w:w="1500"/>
        <w:gridCol w:w="3660"/>
      </w:tblGrid>
      <w:tr>
        <w:trPr>
          <w:tblHeader/>
        </w:trPr>
        <w:tc>
          <w:tcPr>
            <w:tcW w:type="dxa" w:w="1700"/>
            <w:shd w:fill="17365D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1000"/>
            <w:shd w:fill="17365D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Atoms</w:t>
            </w:r>
          </w:p>
        </w:tc>
        <w:tc>
          <w:tcPr>
            <w:tcW w:type="dxa" w:w="1500"/>
            <w:shd w:fill="17365D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 shift (eV)</w:t>
            </w:r>
          </w:p>
        </w:tc>
        <w:tc>
          <w:tcPr>
            <w:tcW w:type="dxa" w:w="1500"/>
            <w:shd w:fill="17365D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Std. dev. (eV)</w:t>
            </w:r>
          </w:p>
        </w:tc>
        <w:tc>
          <w:tcPr>
            <w:tcW w:type="dxa" w:w="3660"/>
            <w:shd w:fill="17365D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Atom indices</w:t>
            </w:r>
          </w:p>
        </w:tc>
      </w:tr>
      <w:tr>
        <w:tc>
          <w:tcPr>
            <w:tcW w:type="dxa" w:w="17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 L alpha</w:t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-0.789</w:t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0.010</w:t>
            </w:r>
          </w:p>
        </w:tc>
        <w:tc>
          <w:tcPr>
            <w:tcW w:type="dxa" w:w="366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4 5 42 43</w:t>
            </w:r>
          </w:p>
        </w:tc>
      </w:tr>
      <w:tr>
        <w:tc>
          <w:tcPr>
            <w:tcW w:type="dxa" w:w="17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 alpha</w:t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-0.786</w:t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0.011</w:t>
            </w:r>
          </w:p>
        </w:tc>
        <w:tc>
          <w:tcPr>
            <w:tcW w:type="dxa" w:w="366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20 21 26 27</w:t>
            </w:r>
          </w:p>
        </w:tc>
      </w:tr>
      <w:tr>
        <w:tc>
          <w:tcPr>
            <w:tcW w:type="dxa" w:w="17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 L beta</w:t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0.260</w:t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0.001</w:t>
            </w:r>
          </w:p>
        </w:tc>
        <w:tc>
          <w:tcPr>
            <w:tcW w:type="dxa" w:w="366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2 3 44 45</w:t>
            </w:r>
          </w:p>
        </w:tc>
      </w:tr>
      <w:tr>
        <w:tc>
          <w:tcPr>
            <w:tcW w:type="dxa" w:w="17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 beta</w:t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0.270</w:t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0.001</w:t>
            </w:r>
          </w:p>
        </w:tc>
        <w:tc>
          <w:tcPr>
            <w:tcW w:type="dxa" w:w="366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22 23 24 25</w:t>
            </w:r>
          </w:p>
        </w:tc>
      </w:tr>
      <w:tr>
        <w:tc>
          <w:tcPr>
            <w:tcW w:type="dxa" w:w="17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 M</w:t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-0.352</w:t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0.017</w:t>
            </w:r>
          </w:p>
        </w:tc>
        <w:tc>
          <w:tcPr>
            <w:tcW w:type="dxa" w:w="366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6 13 28 35</w:t>
            </w:r>
          </w:p>
        </w:tc>
      </w:tr>
      <w:tr>
        <w:tc>
          <w:tcPr>
            <w:tcW w:type="dxa" w:w="17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 b</w:t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0.000</w:t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0.121</w:t>
            </w:r>
          </w:p>
        </w:tc>
        <w:tc>
          <w:tcPr>
            <w:tcW w:type="dxa" w:w="366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14 15 16 17 18 19 29 30 31 32 33 34</w:t>
            </w:r>
          </w:p>
        </w:tc>
      </w:tr>
    </w:tbl>
    <w:p>
      <w:pPr>
        <w:pStyle w:val="Heading2"/>
        <w:spacing w:after="90" w:before="150"/>
      </w:pPr>
      <w:r>
        <w:t xml:space="preserve">Nitrogen groups</w:t>
      </w:r>
    </w:p>
    <w:tbl>
      <w:tblPr>
        <w:tblW w:type="dxa" w:w="936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D9E0E7" w:sz="3"/>
          <w:insideV w:val="single" w:color="D9E0E7" w:sz="3"/>
        </w:tblBorders>
      </w:tblPr>
      <w:tblGrid>
        <w:gridCol w:w="1700"/>
        <w:gridCol w:w="1000"/>
        <w:gridCol w:w="1500"/>
        <w:gridCol w:w="1500"/>
        <w:gridCol w:w="3660"/>
      </w:tblGrid>
      <w:tr>
        <w:trPr>
          <w:tblHeader/>
        </w:trPr>
        <w:tc>
          <w:tcPr>
            <w:tcW w:type="dxa" w:w="1700"/>
            <w:shd w:fill="17365D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1000"/>
            <w:shd w:fill="17365D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Atoms</w:t>
            </w:r>
          </w:p>
        </w:tc>
        <w:tc>
          <w:tcPr>
            <w:tcW w:type="dxa" w:w="1500"/>
            <w:shd w:fill="17365D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 shift (eV)</w:t>
            </w:r>
          </w:p>
        </w:tc>
        <w:tc>
          <w:tcPr>
            <w:tcW w:type="dxa" w:w="1500"/>
            <w:shd w:fill="17365D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Std. dev. (eV)</w:t>
            </w:r>
          </w:p>
        </w:tc>
        <w:tc>
          <w:tcPr>
            <w:tcW w:type="dxa" w:w="3660"/>
            <w:shd w:fill="17365D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Atom indices</w:t>
            </w:r>
          </w:p>
        </w:tc>
      </w:tr>
      <w:tr>
        <w:tc>
          <w:tcPr>
            <w:tcW w:type="dxa" w:w="17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 L</w:t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-0.003</w:t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0.000</w:t>
            </w:r>
          </w:p>
        </w:tc>
        <w:tc>
          <w:tcPr>
            <w:tcW w:type="dxa" w:w="366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46 49</w:t>
            </w:r>
          </w:p>
        </w:tc>
      </w:tr>
      <w:tr>
        <w:tc>
          <w:tcPr>
            <w:tcW w:type="dxa" w:w="17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0.003</w:t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0.000</w:t>
            </w:r>
          </w:p>
        </w:tc>
        <w:tc>
          <w:tcPr>
            <w:tcW w:type="dxa" w:w="366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47 48</w:t>
            </w:r>
          </w:p>
        </w:tc>
      </w:tr>
    </w:tbl>
    <w:p>
      <w:pPr>
        <w:spacing w:after="110" w:line="276"/>
        <w:jc w:val="left"/>
      </w:pPr>
      <w:r>
        <w:rPr>
          <w:b w:val="false"/>
          <w:bCs w:val="false"/>
          <w:i/>
          <w:iCs/>
          <w:color w:val="666666"/>
          <w:sz w:val="18"/>
          <w:szCs w:val="18"/>
        </w:rPr>
        <w:t xml:space="preserve">All values are relative shifts, not absolute experimental binding energies. A positive value denotes a higher binding energy relative to the stated reference.</w:t>
      </w:r>
    </w:p>
    <w:p>
      <w:r>
        <w:br w:type="page"/>
      </w:r>
    </w:p>
    <w:p>
      <w:pPr>
        <w:pStyle w:val="Heading1"/>
        <w:spacing w:after="90" w:before="220"/>
      </w:pPr>
      <w:r>
        <w:t xml:space="preserve">Planar C 1s spectral envelopes</w:t>
      </w:r>
    </w:p>
    <w:p>
      <w:pPr>
        <w:spacing w:after="120"/>
        <w:jc w:val="center"/>
      </w:pPr>
      <w:r>
        <w:drawing>
          <wp:inline distT="0" distB="0" distL="0" distR="0">
            <wp:extent cx="6096000" cy="4067175"/>
            <wp:effectExtent t="0" r="0" b="0" l="0"/>
            <wp:docPr id="1" name="Planar spectra" descr="Blue and red Gaussian-broadened carbon core-level shift envelopes for the selected atom groups." title="Planar carbon core-level shift envelop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276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Blue envelope: CL,alpha + C alpha + CM. Red envelope: CL,beta + C beta + Cb. Each calculated atom contributes a unit-area Gaussian with FWHM = 0.35 eV, so the curves are a visualization of the discrete shifts rather than additional Quantum ESPRESSO data. Cw does not contribute.</w:t>
      </w:r>
    </w:p>
    <w:p>
      <w:pPr>
        <w:spacing w:after="110" w:line="276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The common normalization preserves the relative atom-count weighting across the two envelopes. The underlying per-atom values remain available in the CSV file for alternative broadening or referencing.</w:t>
      </w:r>
    </w:p>
    <w:p>
      <w:r>
        <w:br w:type="page"/>
      </w:r>
    </w:p>
    <w:p>
      <w:pPr>
        <w:pStyle w:val="Heading1"/>
        <w:spacing w:after="90" w:before="220"/>
      </w:pPr>
      <w:r>
        <w:t xml:space="preserve">Planar versus PLDC structure</w:t>
      </w:r>
    </w:p>
    <w:p>
      <w:pPr>
        <w:spacing w:after="90"/>
        <w:jc w:val="center"/>
      </w:pPr>
      <w:r>
        <w:drawing>
          <wp:inline distT="0" distB="0" distL="0" distR="0">
            <wp:extent cx="6096000" cy="3362325"/>
            <wp:effectExtent t="0" r="0" b="0" l="0"/>
            <wp:docPr id="1" name="Planar PLDC comparison" descr="Molecular structure comparison highlighting the two added COO groups of PLDC." title="Planar versus PL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276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Planar: ZnC44H28N4. PLDC file: ZnC46H26N4O4. Relative to Planar, the PLDC coordinates contain two added COO groups and two fewer hydrogen atoms.</w:t>
      </w:r>
    </w:p>
    <w:p>
      <w:r>
        <w:br w:type="page"/>
      </w:r>
    </w:p>
    <w:p>
      <w:pPr>
        <w:pStyle w:val="Heading1"/>
        <w:spacing w:after="90" w:before="220"/>
      </w:pPr>
      <w:r>
        <w:t xml:space="preserve">PLDC calculation status and required decision</w:t>
      </w:r>
    </w:p>
    <w:p>
      <w:pPr>
        <w:spacing w:after="110" w:line="276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The supplied PLDC XYZ file contains COO fragments without acidic hydrogen atoms. For an isolated calculation, the geometry can therefore represent a dianion (total charge −2), or it may require a different neutral/open-shell treatment; alternatively, two hydrogen atoms may need to be added to model two COOH groups. These choices are not interchangeable and cannot be inferred safely from XYZ coordinates alone.</w:t>
      </w:r>
    </w:p>
    <w:p>
      <w:pPr>
        <w:spacing w:after="110" w:line="276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Prepared PLDC input templates are included in the comparison folder, but no incomplete or unconverged PLDC result is presented as a core-level-shift spectrum. Once the intended chemical state is confirmed, the same selected-site workflow and the same spectral broadening can be applied for a defensible numerical comparison.</w:t>
      </w:r>
    </w:p>
    <w:p>
      <w:pPr>
        <w:pStyle w:val="Heading1"/>
        <w:spacing w:after="90" w:before="220"/>
      </w:pPr>
      <w:r>
        <w:t xml:space="preserve">Convergence and interpretation notes</w:t>
      </w:r>
    </w:p>
    <w:p>
      <w:pPr>
        <w:spacing w:after="110" w:line="276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The 25 Å cell and 30/180 Ry cutoffs are working settings for this completed run. Before publication-quality absolute comparisons, verify convergence with respect to cell size, plane-wave cutoffs, pseudopotential family, smearing, and molecular charge/spin. Experimental XPS comparison may also require a uniform energy alignment and consideration of final-state screening.</w:t>
      </w:r>
    </w:p>
    <w:p>
      <w:pPr>
        <w:pStyle w:val="Heading1"/>
        <w:spacing w:after="90" w:before="220"/>
      </w:pPr>
      <w:r>
        <w:t xml:space="preserve">Organized file package</w:t>
      </w:r>
    </w:p>
    <w:tbl>
      <w:tblPr>
        <w:tblW w:type="dxa" w:w="936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D9E0E7" w:sz="3"/>
          <w:insideV w:val="single" w:color="D9E0E7" w:sz="3"/>
        </w:tblBorders>
      </w:tblPr>
      <w:tblGrid>
        <w:gridCol w:w="2450"/>
        <w:gridCol w:w="6910"/>
      </w:tblGrid>
      <w:tr>
        <w:tc>
          <w:tcPr>
            <w:tcW w:type="dxa" w:w="2450"/>
            <w:shd w:fill="DDEA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7365D"/>
                <w:sz w:val="18"/>
                <w:szCs w:val="18"/>
              </w:rPr>
              <w:t xml:space="preserve">structure/</w:t>
            </w:r>
          </w:p>
        </w:tc>
        <w:tc>
          <w:tcPr>
            <w:tcW w:type="dxa" w:w="6910"/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Planar XYZ file and molecular figures</w:t>
            </w:r>
          </w:p>
        </w:tc>
      </w:tr>
      <w:tr>
        <w:tc>
          <w:tcPr>
            <w:tcW w:type="dxa" w:w="2450"/>
            <w:shd w:fill="EDF3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7365D"/>
                <w:sz w:val="18"/>
                <w:szCs w:val="18"/>
              </w:rPr>
              <w:t xml:space="preserve">inputs/</w:t>
            </w:r>
          </w:p>
        </w:tc>
        <w:tc>
          <w:tcPr>
            <w:tcW w:type="dxa" w:w="691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Completed Planar SCF and initial_state.x inputs</w:t>
            </w:r>
          </w:p>
        </w:tc>
      </w:tr>
      <w:tr>
        <w:tc>
          <w:tcPr>
            <w:tcW w:type="dxa" w:w="2450"/>
            <w:shd w:fill="DDEA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7365D"/>
                <w:sz w:val="18"/>
                <w:szCs w:val="18"/>
              </w:rPr>
              <w:t xml:space="preserve">outputs/</w:t>
            </w:r>
          </w:p>
        </w:tc>
        <w:tc>
          <w:tcPr>
            <w:tcW w:type="dxa" w:w="6910"/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Converged Planar SCF and initial_state.x outputs</w:t>
            </w:r>
          </w:p>
        </w:tc>
      </w:tr>
      <w:tr>
        <w:tc>
          <w:tcPr>
            <w:tcW w:type="dxa" w:w="2450"/>
            <w:shd w:fill="EDF3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7365D"/>
                <w:sz w:val="18"/>
                <w:szCs w:val="18"/>
              </w:rPr>
              <w:t xml:space="preserve">results/</w:t>
            </w:r>
          </w:p>
        </w:tc>
        <w:tc>
          <w:tcPr>
            <w:tcW w:type="dxa" w:w="691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Per-atom CSV, group summary CSV, and spectrum PNG/PDF</w:t>
            </w:r>
          </w:p>
        </w:tc>
      </w:tr>
      <w:tr>
        <w:tc>
          <w:tcPr>
            <w:tcW w:type="dxa" w:w="2450"/>
            <w:shd w:fill="DDEA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7365D"/>
                <w:sz w:val="18"/>
                <w:szCs w:val="18"/>
              </w:rPr>
              <w:t xml:space="preserve">comparison/</w:t>
            </w:r>
          </w:p>
        </w:tc>
        <w:tc>
          <w:tcPr>
            <w:tcW w:type="dxa" w:w="6910"/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PLDC XYZ, structural comparison PNG/PDF, and prepared PLDC templates</w:t>
            </w:r>
          </w:p>
        </w:tc>
      </w:tr>
      <w:tr>
        <w:tc>
          <w:tcPr>
            <w:tcW w:type="dxa" w:w="2450"/>
            <w:shd w:fill="EDF3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7365D"/>
                <w:sz w:val="18"/>
                <w:szCs w:val="18"/>
              </w:rPr>
              <w:t xml:space="preserve">scripts/</w:t>
            </w:r>
          </w:p>
        </w:tc>
        <w:tc>
          <w:tcPr>
            <w:tcW w:type="dxa" w:w="691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Reproducible preparation, analysis, and plotting scripts</w:t>
            </w:r>
          </w:p>
        </w:tc>
      </w:tr>
      <w:tr>
        <w:tc>
          <w:tcPr>
            <w:tcW w:type="dxa" w:w="2450"/>
            <w:shd w:fill="DDEA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7365D"/>
                <w:sz w:val="18"/>
                <w:szCs w:val="18"/>
              </w:rPr>
              <w:t xml:space="preserve">pseudopotentials/</w:t>
            </w:r>
          </w:p>
        </w:tc>
        <w:tc>
          <w:tcPr>
            <w:tcW w:type="dxa" w:w="6910"/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Pseudopotentials used by the Planar workflow</w:t>
            </w:r>
          </w:p>
        </w:tc>
      </w:tr>
      <w:tr>
        <w:tc>
          <w:tcPr>
            <w:tcW w:type="dxa" w:w="2450"/>
            <w:shd w:fill="EDF3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7365D"/>
                <w:sz w:val="18"/>
                <w:szCs w:val="18"/>
              </w:rPr>
              <w:t xml:space="preserve">archive_full_C_N/</w:t>
            </w:r>
          </w:p>
        </w:tc>
        <w:tc>
          <w:tcPr>
            <w:tcW w:type="dxa" w:w="691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Earlier all-C/all-N calculation retained for traceability</w:t>
            </w:r>
          </w:p>
        </w:tc>
      </w:tr>
    </w:tbl>
    <w:p>
      <w:pPr>
        <w:pStyle w:val="Heading1"/>
        <w:spacing w:after="90" w:before="220"/>
      </w:pPr>
      <w:r>
        <w:t xml:space="preserve">Reproducibility statement</w:t>
      </w:r>
    </w:p>
    <w:p>
      <w:pPr>
        <w:spacing w:after="110" w:line="276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The CSV tables are the numerical source of truth for the reported shifts. The figures can be regenerated from the included scripts without changing the Quantum ESPRESSO output files.</w:t>
      </w:r>
    </w:p>
    <w:sectPr>
      <w:headerReference w:type="default" r:id="rId7"/>
      <w:footerReference w:type="default" r:id="rId8"/>
      <w:pgSz w:w="12240" w:h="15840" w:orient="portrait"/>
      <w:pgMar w:top="900" w:right="900" w:bottom="85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color w:val="7A8793"/>
        <w:sz w:val="15"/>
        <w:szCs w:val="15"/>
      </w:rPr>
      <w:t xml:space="preserve">Planar Zn-porphyrin report  |  </w:t>
    </w:r>
    <w:r>
      <w:rPr>
        <w:color w:val="7A879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color w:val="7A8793"/>
        <w:sz w:val="15"/>
        <w:szCs w:val="15"/>
      </w:rPr>
      <w:t xml:space="preserve">QUANTUM ESPRESSO · CORE-LEVEL SHIFTS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>
      <w:pPr>
        <w:spacing w:after="11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40" w:before="0"/>
      <w:jc w:val="center"/>
    </w:pPr>
    <w:rPr>
      <w:rFonts w:ascii="Arial" w:cs="Arial" w:eastAsia="Arial" w:hAnsi="Arial"/>
      <w:b/>
      <w:bCs/>
      <w:color w:val="17365D"/>
      <w:sz w:val="42"/>
      <w:szCs w:val="42"/>
    </w:rPr>
  </w:style>
  <w:style w:type="paragraph" w:styleId="Subtitle">
    <w:name w:val="Subtitle"/>
    <w:basedOn w:val="Normal"/>
    <w:next w:val="Normal"/>
    <w:pPr>
      <w:spacing w:after="180"/>
      <w:jc w:val="center"/>
    </w:pPr>
    <w:rPr>
      <w:rFonts w:ascii="Arial" w:cs="Arial" w:eastAsia="Arial" w:hAnsi="Arial"/>
      <w:color w:val="666666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after="90" w:before="220"/>
      <w:outlineLvl w:val="0"/>
    </w:pPr>
    <w:rPr>
      <w:rFonts w:ascii="Arial" w:cs="Arial" w:eastAsia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70" w:before="150"/>
      <w:outlineLvl w:val="1"/>
    </w:pPr>
    <w:rPr>
      <w:rFonts w:ascii="Arial" w:cs="Arial" w:eastAsia="Arial" w:hAnsi="Arial"/>
      <w:b/>
      <w:bCs/>
      <w:color w:val="2F75B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c8503759d61a802cea18eb0e29ebdc732f3b06f.png"/><Relationship Id="rId10" Type="http://schemas.openxmlformats.org/officeDocument/2006/relationships/image" Target="media/3424ddfbe5705d4d0ae01359eee3f255548b9a6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2026-08-01T08:43:45.605Z</dcterms:created>
  <dcterms:modified xsi:type="dcterms:W3CDTF">2026-08-01T08:43:45.606Z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