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Planar versus Protonated PLDC</w:t>
      </w:r>
    </w:p>
    <w:p>
      <w:pPr>
        <w:pStyle w:val="Title"/>
      </w:pPr>
      <w:r>
        <w:t xml:space="preserve">All-Carbon Core-Level Shifts</w:t>
      </w:r>
    </w:p>
    <w:p>
      <w:pPr>
        <w:pStyle w:val="Subtitle"/>
      </w:pPr>
      <w:r>
        <w:t xml:space="preserve">Initial-state Quantum ESPRESSO comparison · all carbon groups</w:t>
      </w:r>
    </w:p>
    <w:p>
      <w:pPr>
        <w:spacing w:after="130"/>
        <w:jc w:val="center"/>
      </w:pPr>
      <w:r>
        <w:rPr>
          <w:color w:val="666666"/>
          <w:sz w:val="18"/>
          <w:szCs w:val="18"/>
        </w:rPr>
        <w:t xml:space="preserve">1 August 2026</w:t>
      </w:r>
    </w:p>
    <w:p>
      <w:pPr>
        <w:spacing w:after="110"/>
        <w:jc w:val="center"/>
      </w:pPr>
      <w:r>
        <w:drawing>
          <wp:inline distT="0" distB="0" distL="0" distR="0">
            <wp:extent cx="6334125" cy="4829175"/>
            <wp:effectExtent t="0" r="0" b="0" l="0"/>
            <wp:docPr id="1" name="CLS envelopes" descr="All-carbon C 1s initial-state shift envelopes for Planar and protonated PLDC with a COOH inset." title="Planar and PLDC carbon envel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34125" cy="4829175"/>
                    </a:xfrm>
                    <a:prstGeom prst="rect">
                      <a:avLst/>
                    </a:prstGeom>
                  </pic:spPr>
                </pic:pic>
              </a:graphicData>
            </a:graphic>
          </wp:inline>
        </w:drawing>
      </w:r>
    </w:p>
    <w:p>
      <w:pPr>
        <w:pStyle w:val="Heading1"/>
        <w:spacing w:after="80" w:before="190"/>
      </w:pPr>
      <w:r>
        <w:t xml:space="preserve">Result summary</w:t>
      </w:r>
    </w:p>
    <w:p>
      <w:pPr>
        <w:spacing w:after="105" w:line="276"/>
        <w:jc w:val="left"/>
      </w:pPr>
      <w:r>
        <w:rPr>
          <w:b w:val="false"/>
          <w:bCs w:val="false"/>
          <w:i w:val="false"/>
          <w:iCs w:val="false"/>
          <w:sz w:val="20"/>
          <w:szCs w:val="20"/>
        </w:rPr>
        <w:t xml:space="preserve">The all-carbon Planar dataset and a new neutral protonated PLDC calculation are complete. The PLDC model contains two COOH groups, with H82 bonded to O78 and H83 bonded to O80. All 44 Planar and all 46 PLDC carbon atoms were evaluated.</w:t>
      </w:r>
    </w:p>
    <w:p>
      <w:pPr>
        <w:spacing w:after="105" w:line="276"/>
        <w:jc w:val="left"/>
      </w:pPr>
      <w:r>
        <w:rPr>
          <w:b w:val="false"/>
          <w:bCs w:val="false"/>
          <w:i w:val="false"/>
          <w:iCs w:val="false"/>
          <w:sz w:val="20"/>
          <w:szCs w:val="20"/>
        </w:rPr>
        <w:t xml:space="preserve">Every atom contributes a unit-area Gaussian with FWHM = 0.35 eV. The blue background is the combined C_L,alpha + C_alpha envelope; the contrasting amber background contains all remaining carbon groups. Individual group curves are drawn in the foreground, and no total curve is shown. The CSV files contain the discrete Quantum ESPRESSO values.</w:t>
      </w:r>
    </w:p>
    <w:p>
      <w:r>
        <w:br w:type="page"/>
      </w:r>
    </w:p>
    <w:p>
      <w:pPr>
        <w:pStyle w:val="Heading1"/>
        <w:spacing w:after="80" w:before="190"/>
      </w:pPr>
      <w:r>
        <w:t xml:space="preserve">Carbon-group shifts</w:t>
      </w:r>
    </w:p>
    <w:p>
      <w:pPr>
        <w:spacing w:after="105" w:line="276"/>
        <w:jc w:val="left"/>
      </w:pPr>
      <w:r>
        <w:rPr>
          <w:b w:val="false"/>
          <w:bCs w:val="false"/>
          <w:i w:val="false"/>
          <w:iCs w:val="false"/>
          <w:sz w:val="20"/>
          <w:szCs w:val="20"/>
        </w:rPr>
        <w:t xml:space="preserve">Shifts use the Quantum ESPRESSO example convention: ΔE = IS(reference) − IS(site). The internal reference is the mean initial-state contribution of all Cb and Cw atoms in the same molecule.</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1420"/>
        <w:gridCol w:w="1000"/>
        <w:gridCol w:w="1470"/>
        <w:gridCol w:w="1470"/>
        <w:gridCol w:w="1470"/>
        <w:gridCol w:w="2530"/>
      </w:tblGrid>
      <w:tr>
        <w:trPr>
          <w:tblHeader/>
        </w:trPr>
        <w:tc>
          <w:tcPr>
            <w:tcW w:type="dxa" w:w="1420"/>
            <w:shd w:fill="17365D" w:val="clear"/>
            <w:tcMar>
              <w:top w:type="dxa" w:w="65"/>
              <w:left w:type="dxa" w:w="70"/>
              <w:bottom w:type="dxa" w:w="65"/>
              <w:right w:type="dxa" w:w="70"/>
            </w:tcMar>
            <w:vAlign w:val="center"/>
          </w:tcPr>
          <w:p>
            <w:pPr>
              <w:spacing w:after="0"/>
              <w:jc w:val="left"/>
            </w:pPr>
            <w:r>
              <w:rPr>
                <w:b/>
                <w:bCs/>
                <w:color w:val="FFFFFF"/>
                <w:sz w:val="17"/>
                <w:szCs w:val="17"/>
              </w:rPr>
              <w:t xml:space="preserve">Group</w:t>
            </w:r>
          </w:p>
        </w:tc>
        <w:tc>
          <w:tcPr>
            <w:tcW w:type="dxa" w:w="1000"/>
            <w:shd w:fill="17365D" w:val="clear"/>
            <w:tcMar>
              <w:top w:type="dxa" w:w="65"/>
              <w:left w:type="dxa" w:w="70"/>
              <w:bottom w:type="dxa" w:w="65"/>
              <w:right w:type="dxa" w:w="70"/>
            </w:tcMar>
            <w:vAlign w:val="center"/>
          </w:tcPr>
          <w:p>
            <w:pPr>
              <w:spacing w:after="0"/>
              <w:jc w:val="center"/>
            </w:pPr>
            <w:r>
              <w:rPr>
                <w:b/>
                <w:bCs/>
                <w:color w:val="FFFFFF"/>
                <w:sz w:val="17"/>
                <w:szCs w:val="17"/>
              </w:rPr>
              <w:t xml:space="preserve">Planar n</w:t>
            </w:r>
          </w:p>
        </w:tc>
        <w:tc>
          <w:tcPr>
            <w:tcW w:type="dxa" w:w="1470"/>
            <w:shd w:fill="17365D" w:val="clear"/>
            <w:tcMar>
              <w:top w:type="dxa" w:w="65"/>
              <w:left w:type="dxa" w:w="70"/>
              <w:bottom w:type="dxa" w:w="65"/>
              <w:right w:type="dxa" w:w="70"/>
            </w:tcMar>
            <w:vAlign w:val="center"/>
          </w:tcPr>
          <w:p>
            <w:pPr>
              <w:spacing w:after="0"/>
              <w:jc w:val="center"/>
            </w:pPr>
            <w:r>
              <w:rPr>
                <w:b/>
                <w:bCs/>
                <w:color w:val="FFFFFF"/>
                <w:sz w:val="17"/>
                <w:szCs w:val="17"/>
              </w:rPr>
              <w:t xml:space="preserve">Planar mean</w:t>
            </w:r>
          </w:p>
        </w:tc>
        <w:tc>
          <w:tcPr>
            <w:tcW w:type="dxa" w:w="1470"/>
            <w:shd w:fill="17365D" w:val="clear"/>
            <w:tcMar>
              <w:top w:type="dxa" w:w="65"/>
              <w:left w:type="dxa" w:w="70"/>
              <w:bottom w:type="dxa" w:w="65"/>
              <w:right w:type="dxa" w:w="70"/>
            </w:tcMar>
            <w:vAlign w:val="center"/>
          </w:tcPr>
          <w:p>
            <w:pPr>
              <w:spacing w:after="0"/>
              <w:jc w:val="center"/>
            </w:pPr>
            <w:r>
              <w:rPr>
                <w:b/>
                <w:bCs/>
                <w:color w:val="FFFFFF"/>
                <w:sz w:val="17"/>
                <w:szCs w:val="17"/>
              </w:rPr>
              <w:t xml:space="preserve">PLDC n</w:t>
            </w:r>
          </w:p>
        </w:tc>
        <w:tc>
          <w:tcPr>
            <w:tcW w:type="dxa" w:w="1470"/>
            <w:shd w:fill="17365D" w:val="clear"/>
            <w:tcMar>
              <w:top w:type="dxa" w:w="65"/>
              <w:left w:type="dxa" w:w="70"/>
              <w:bottom w:type="dxa" w:w="65"/>
              <w:right w:type="dxa" w:w="70"/>
            </w:tcMar>
            <w:vAlign w:val="center"/>
          </w:tcPr>
          <w:p>
            <w:pPr>
              <w:spacing w:after="0"/>
              <w:jc w:val="center"/>
            </w:pPr>
            <w:r>
              <w:rPr>
                <w:b/>
                <w:bCs/>
                <w:color w:val="FFFFFF"/>
                <w:sz w:val="17"/>
                <w:szCs w:val="17"/>
              </w:rPr>
              <w:t xml:space="preserve">PLDC mean</w:t>
            </w:r>
          </w:p>
        </w:tc>
        <w:tc>
          <w:tcPr>
            <w:tcW w:type="dxa" w:w="2530"/>
            <w:shd w:fill="17365D" w:val="clear"/>
            <w:tcMar>
              <w:top w:type="dxa" w:w="65"/>
              <w:left w:type="dxa" w:w="70"/>
              <w:bottom w:type="dxa" w:w="65"/>
              <w:right w:type="dxa" w:w="70"/>
            </w:tcMar>
            <w:vAlign w:val="center"/>
          </w:tcPr>
          <w:p>
            <w:pPr>
              <w:spacing w:after="0"/>
              <w:jc w:val="center"/>
            </w:pPr>
            <w:r>
              <w:rPr>
                <w:b/>
                <w:bCs/>
                <w:color w:val="FFFFFF"/>
                <w:sz w:val="17"/>
                <w:szCs w:val="17"/>
              </w:rPr>
              <w:t xml:space="preserve">PLDC range (eV)</w:t>
            </w:r>
          </w:p>
        </w:tc>
      </w:tr>
      <w:tr>
        <w:tc>
          <w:tcPr>
            <w:tcW w:type="dxa" w:w="1420"/>
            <w:tcMar>
              <w:top w:type="dxa" w:w="65"/>
              <w:left w:type="dxa" w:w="70"/>
              <w:bottom w:type="dxa" w:w="65"/>
              <w:right w:type="dxa" w:w="70"/>
            </w:tcMar>
            <w:vAlign w:val="center"/>
          </w:tcPr>
          <w:p>
            <w:pPr>
              <w:spacing w:after="0"/>
              <w:jc w:val="left"/>
            </w:pPr>
            <w:r>
              <w:rPr>
                <w:b w:val="false"/>
                <w:bCs w:val="false"/>
                <w:color w:val="222222"/>
                <w:sz w:val="17"/>
                <w:szCs w:val="17"/>
              </w:rPr>
              <w:t xml:space="preserve">C_L,alpha</w:t>
            </w:r>
          </w:p>
        </w:tc>
        <w:tc>
          <w:tcPr>
            <w:tcW w:type="dxa" w:w="100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-0.791</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-0.870</w:t>
            </w:r>
          </w:p>
        </w:tc>
        <w:tc>
          <w:tcPr>
            <w:tcW w:type="dxa" w:w="2530"/>
            <w:tcMar>
              <w:top w:type="dxa" w:w="65"/>
              <w:left w:type="dxa" w:w="70"/>
              <w:bottom w:type="dxa" w:w="65"/>
              <w:right w:type="dxa" w:w="70"/>
            </w:tcMar>
            <w:vAlign w:val="center"/>
          </w:tcPr>
          <w:p>
            <w:pPr>
              <w:spacing w:after="0"/>
              <w:jc w:val="center"/>
            </w:pPr>
            <w:r>
              <w:rPr>
                <w:b w:val="false"/>
                <w:bCs w:val="false"/>
                <w:color w:val="222222"/>
                <w:sz w:val="17"/>
                <w:szCs w:val="17"/>
              </w:rPr>
              <w:t xml:space="preserve">-1.048 to -0.697</w:t>
            </w:r>
          </w:p>
        </w:tc>
      </w:tr>
      <w:tr>
        <w:tc>
          <w:tcPr>
            <w:tcW w:type="dxa" w:w="1420"/>
            <w:tcMar>
              <w:top w:type="dxa" w:w="65"/>
              <w:left w:type="dxa" w:w="70"/>
              <w:bottom w:type="dxa" w:w="65"/>
              <w:right w:type="dxa" w:w="70"/>
            </w:tcMar>
            <w:vAlign w:val="center"/>
          </w:tcPr>
          <w:p>
            <w:pPr>
              <w:spacing w:after="0"/>
              <w:jc w:val="left"/>
            </w:pPr>
            <w:r>
              <w:rPr>
                <w:b w:val="false"/>
                <w:bCs w:val="false"/>
                <w:color w:val="222222"/>
                <w:sz w:val="17"/>
                <w:szCs w:val="17"/>
              </w:rPr>
              <w:t xml:space="preserve">C_alpha</w:t>
            </w:r>
          </w:p>
        </w:tc>
        <w:tc>
          <w:tcPr>
            <w:tcW w:type="dxa" w:w="100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-0.788</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-0.899</w:t>
            </w:r>
          </w:p>
        </w:tc>
        <w:tc>
          <w:tcPr>
            <w:tcW w:type="dxa" w:w="2530"/>
            <w:tcMar>
              <w:top w:type="dxa" w:w="65"/>
              <w:left w:type="dxa" w:w="70"/>
              <w:bottom w:type="dxa" w:w="65"/>
              <w:right w:type="dxa" w:w="70"/>
            </w:tcMar>
            <w:vAlign w:val="center"/>
          </w:tcPr>
          <w:p>
            <w:pPr>
              <w:spacing w:after="0"/>
              <w:jc w:val="center"/>
            </w:pPr>
            <w:r>
              <w:rPr>
                <w:b w:val="false"/>
                <w:bCs w:val="false"/>
                <w:color w:val="222222"/>
                <w:sz w:val="17"/>
                <w:szCs w:val="17"/>
              </w:rPr>
              <w:t xml:space="preserve">-1.122 to -0.694</w:t>
            </w:r>
          </w:p>
        </w:tc>
      </w:tr>
      <w:tr>
        <w:tc>
          <w:tcPr>
            <w:tcW w:type="dxa" w:w="1420"/>
            <w:tcMar>
              <w:top w:type="dxa" w:w="65"/>
              <w:left w:type="dxa" w:w="70"/>
              <w:bottom w:type="dxa" w:w="65"/>
              <w:right w:type="dxa" w:w="70"/>
            </w:tcMar>
            <w:vAlign w:val="center"/>
          </w:tcPr>
          <w:p>
            <w:pPr>
              <w:spacing w:after="0"/>
              <w:jc w:val="left"/>
            </w:pPr>
            <w:r>
              <w:rPr>
                <w:b w:val="false"/>
                <w:bCs w:val="false"/>
                <w:color w:val="222222"/>
                <w:sz w:val="17"/>
                <w:szCs w:val="17"/>
              </w:rPr>
              <w:t xml:space="preserve">C_M</w:t>
            </w:r>
          </w:p>
        </w:tc>
        <w:tc>
          <w:tcPr>
            <w:tcW w:type="dxa" w:w="100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-0.348</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-0.102</w:t>
            </w:r>
          </w:p>
        </w:tc>
        <w:tc>
          <w:tcPr>
            <w:tcW w:type="dxa" w:w="2530"/>
            <w:tcMar>
              <w:top w:type="dxa" w:w="65"/>
              <w:left w:type="dxa" w:w="70"/>
              <w:bottom w:type="dxa" w:w="65"/>
              <w:right w:type="dxa" w:w="70"/>
            </w:tcMar>
            <w:vAlign w:val="center"/>
          </w:tcPr>
          <w:p>
            <w:pPr>
              <w:spacing w:after="0"/>
              <w:jc w:val="center"/>
            </w:pPr>
            <w:r>
              <w:rPr>
                <w:b w:val="false"/>
                <w:bCs w:val="false"/>
                <w:color w:val="222222"/>
                <w:sz w:val="17"/>
                <w:szCs w:val="17"/>
              </w:rPr>
              <w:t xml:space="preserve">-0.208 to 0.050</w:t>
            </w:r>
          </w:p>
        </w:tc>
      </w:tr>
      <w:tr>
        <w:tc>
          <w:tcPr>
            <w:tcW w:type="dxa" w:w="1420"/>
            <w:tcMar>
              <w:top w:type="dxa" w:w="65"/>
              <w:left w:type="dxa" w:w="70"/>
              <w:bottom w:type="dxa" w:w="65"/>
              <w:right w:type="dxa" w:w="70"/>
            </w:tcMar>
            <w:vAlign w:val="center"/>
          </w:tcPr>
          <w:p>
            <w:pPr>
              <w:spacing w:after="0"/>
              <w:jc w:val="left"/>
            </w:pPr>
            <w:r>
              <w:rPr>
                <w:b w:val="false"/>
                <w:bCs w:val="false"/>
                <w:color w:val="222222"/>
                <w:sz w:val="17"/>
                <w:szCs w:val="17"/>
              </w:rPr>
              <w:t xml:space="preserve">C_L,beta</w:t>
            </w:r>
          </w:p>
        </w:tc>
        <w:tc>
          <w:tcPr>
            <w:tcW w:type="dxa" w:w="100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0.266</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0.233</w:t>
            </w:r>
          </w:p>
        </w:tc>
        <w:tc>
          <w:tcPr>
            <w:tcW w:type="dxa" w:w="2530"/>
            <w:tcMar>
              <w:top w:type="dxa" w:w="65"/>
              <w:left w:type="dxa" w:w="70"/>
              <w:bottom w:type="dxa" w:w="65"/>
              <w:right w:type="dxa" w:w="70"/>
            </w:tcMar>
            <w:vAlign w:val="center"/>
          </w:tcPr>
          <w:p>
            <w:pPr>
              <w:spacing w:after="0"/>
              <w:jc w:val="center"/>
            </w:pPr>
            <w:r>
              <w:rPr>
                <w:b w:val="false"/>
                <w:bCs w:val="false"/>
                <w:color w:val="222222"/>
                <w:sz w:val="17"/>
                <w:szCs w:val="17"/>
              </w:rPr>
              <w:t xml:space="preserve">0.202 to 0.261</w:t>
            </w:r>
          </w:p>
        </w:tc>
      </w:tr>
      <w:tr>
        <w:tc>
          <w:tcPr>
            <w:tcW w:type="dxa" w:w="1420"/>
            <w:tcMar>
              <w:top w:type="dxa" w:w="65"/>
              <w:left w:type="dxa" w:w="70"/>
              <w:bottom w:type="dxa" w:w="65"/>
              <w:right w:type="dxa" w:w="70"/>
            </w:tcMar>
            <w:vAlign w:val="center"/>
          </w:tcPr>
          <w:p>
            <w:pPr>
              <w:spacing w:after="0"/>
              <w:jc w:val="left"/>
            </w:pPr>
            <w:r>
              <w:rPr>
                <w:b w:val="false"/>
                <w:bCs w:val="false"/>
                <w:color w:val="222222"/>
                <w:sz w:val="17"/>
                <w:szCs w:val="17"/>
              </w:rPr>
              <w:t xml:space="preserve">C_beta</w:t>
            </w:r>
          </w:p>
        </w:tc>
        <w:tc>
          <w:tcPr>
            <w:tcW w:type="dxa" w:w="100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0.275</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4</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0.235</w:t>
            </w:r>
          </w:p>
        </w:tc>
        <w:tc>
          <w:tcPr>
            <w:tcW w:type="dxa" w:w="2530"/>
            <w:tcMar>
              <w:top w:type="dxa" w:w="65"/>
              <w:left w:type="dxa" w:w="70"/>
              <w:bottom w:type="dxa" w:w="65"/>
              <w:right w:type="dxa" w:w="70"/>
            </w:tcMar>
            <w:vAlign w:val="center"/>
          </w:tcPr>
          <w:p>
            <w:pPr>
              <w:spacing w:after="0"/>
              <w:jc w:val="center"/>
            </w:pPr>
            <w:r>
              <w:rPr>
                <w:b w:val="false"/>
                <w:bCs w:val="false"/>
                <w:color w:val="222222"/>
                <w:sz w:val="17"/>
                <w:szCs w:val="17"/>
              </w:rPr>
              <w:t xml:space="preserve">0.210 to 0.257</w:t>
            </w:r>
          </w:p>
        </w:tc>
      </w:tr>
      <w:tr>
        <w:tc>
          <w:tcPr>
            <w:tcW w:type="dxa" w:w="1420"/>
            <w:tcMar>
              <w:top w:type="dxa" w:w="65"/>
              <w:left w:type="dxa" w:w="70"/>
              <w:bottom w:type="dxa" w:w="65"/>
              <w:right w:type="dxa" w:w="70"/>
            </w:tcMar>
            <w:vAlign w:val="center"/>
          </w:tcPr>
          <w:p>
            <w:pPr>
              <w:spacing w:after="0"/>
              <w:jc w:val="left"/>
            </w:pPr>
            <w:r>
              <w:rPr>
                <w:b w:val="false"/>
                <w:bCs w:val="false"/>
                <w:color w:val="222222"/>
                <w:sz w:val="17"/>
                <w:szCs w:val="17"/>
              </w:rPr>
              <w:t xml:space="preserve">C_b</w:t>
            </w:r>
          </w:p>
        </w:tc>
        <w:tc>
          <w:tcPr>
            <w:tcW w:type="dxa" w:w="1000"/>
            <w:tcMar>
              <w:top w:type="dxa" w:w="65"/>
              <w:left w:type="dxa" w:w="70"/>
              <w:bottom w:type="dxa" w:w="65"/>
              <w:right w:type="dxa" w:w="70"/>
            </w:tcMar>
            <w:vAlign w:val="center"/>
          </w:tcPr>
          <w:p>
            <w:pPr>
              <w:spacing w:after="0"/>
              <w:jc w:val="center"/>
            </w:pPr>
            <w:r>
              <w:rPr>
                <w:b w:val="false"/>
                <w:bCs w:val="false"/>
                <w:color w:val="222222"/>
                <w:sz w:val="17"/>
                <w:szCs w:val="17"/>
              </w:rPr>
              <w:t xml:space="preserve">12</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0.003</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12</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-0.048</w:t>
            </w:r>
          </w:p>
        </w:tc>
        <w:tc>
          <w:tcPr>
            <w:tcW w:type="dxa" w:w="2530"/>
            <w:tcMar>
              <w:top w:type="dxa" w:w="65"/>
              <w:left w:type="dxa" w:w="70"/>
              <w:bottom w:type="dxa" w:w="65"/>
              <w:right w:type="dxa" w:w="70"/>
            </w:tcMar>
            <w:vAlign w:val="center"/>
          </w:tcPr>
          <w:p>
            <w:pPr>
              <w:spacing w:after="0"/>
              <w:jc w:val="center"/>
            </w:pPr>
            <w:r>
              <w:rPr>
                <w:b w:val="false"/>
                <w:bCs w:val="false"/>
                <w:color w:val="222222"/>
                <w:sz w:val="17"/>
                <w:szCs w:val="17"/>
              </w:rPr>
              <w:t xml:space="preserve">-0.475 to 0.220</w:t>
            </w:r>
          </w:p>
        </w:tc>
      </w:tr>
      <w:tr>
        <w:tc>
          <w:tcPr>
            <w:tcW w:type="dxa" w:w="1420"/>
            <w:tcMar>
              <w:top w:type="dxa" w:w="65"/>
              <w:left w:type="dxa" w:w="70"/>
              <w:bottom w:type="dxa" w:w="65"/>
              <w:right w:type="dxa" w:w="70"/>
            </w:tcMar>
            <w:vAlign w:val="center"/>
          </w:tcPr>
          <w:p>
            <w:pPr>
              <w:spacing w:after="0"/>
              <w:jc w:val="left"/>
            </w:pPr>
            <w:r>
              <w:rPr>
                <w:b w:val="false"/>
                <w:bCs w:val="false"/>
                <w:color w:val="222222"/>
                <w:sz w:val="17"/>
                <w:szCs w:val="17"/>
              </w:rPr>
              <w:t xml:space="preserve">C_w</w:t>
            </w:r>
          </w:p>
        </w:tc>
        <w:tc>
          <w:tcPr>
            <w:tcW w:type="dxa" w:w="1000"/>
            <w:tcMar>
              <w:top w:type="dxa" w:w="65"/>
              <w:left w:type="dxa" w:w="70"/>
              <w:bottom w:type="dxa" w:w="65"/>
              <w:right w:type="dxa" w:w="70"/>
            </w:tcMar>
            <w:vAlign w:val="center"/>
          </w:tcPr>
          <w:p>
            <w:pPr>
              <w:spacing w:after="0"/>
              <w:jc w:val="center"/>
            </w:pPr>
            <w:r>
              <w:rPr>
                <w:b w:val="false"/>
                <w:bCs w:val="false"/>
                <w:color w:val="222222"/>
                <w:sz w:val="17"/>
                <w:szCs w:val="17"/>
              </w:rPr>
              <w:t xml:space="preserve">12</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-0.003</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12</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0.048</w:t>
            </w:r>
          </w:p>
        </w:tc>
        <w:tc>
          <w:tcPr>
            <w:tcW w:type="dxa" w:w="2530"/>
            <w:tcMar>
              <w:top w:type="dxa" w:w="65"/>
              <w:left w:type="dxa" w:w="70"/>
              <w:bottom w:type="dxa" w:w="65"/>
              <w:right w:type="dxa" w:w="70"/>
            </w:tcMar>
            <w:vAlign w:val="center"/>
          </w:tcPr>
          <w:p>
            <w:pPr>
              <w:spacing w:after="0"/>
              <w:jc w:val="center"/>
            </w:pPr>
            <w:r>
              <w:rPr>
                <w:b w:val="false"/>
                <w:bCs w:val="false"/>
                <w:color w:val="222222"/>
                <w:sz w:val="17"/>
                <w:szCs w:val="17"/>
              </w:rPr>
              <w:t xml:space="preserve">-0.158 to 0.172</w:t>
            </w:r>
          </w:p>
        </w:tc>
      </w:tr>
      <w:tr>
        <w:tc>
          <w:tcPr>
            <w:tcW w:type="dxa" w:w="1420"/>
            <w:tcMar>
              <w:top w:type="dxa" w:w="65"/>
              <w:left w:type="dxa" w:w="70"/>
              <w:bottom w:type="dxa" w:w="65"/>
              <w:right w:type="dxa" w:w="70"/>
            </w:tcMar>
            <w:vAlign w:val="center"/>
          </w:tcPr>
          <w:p>
            <w:pPr>
              <w:spacing w:after="0"/>
              <w:jc w:val="left"/>
            </w:pPr>
            <w:r>
              <w:rPr>
                <w:b w:val="false"/>
                <w:bCs w:val="false"/>
                <w:color w:val="222222"/>
                <w:sz w:val="17"/>
                <w:szCs w:val="17"/>
              </w:rPr>
              <w:t xml:space="preserve">C_COOH</w:t>
            </w:r>
          </w:p>
        </w:tc>
        <w:tc>
          <w:tcPr>
            <w:tcW w:type="dxa" w:w="1000"/>
            <w:tcMar>
              <w:top w:type="dxa" w:w="65"/>
              <w:left w:type="dxa" w:w="70"/>
              <w:bottom w:type="dxa" w:w="65"/>
              <w:right w:type="dxa" w:w="70"/>
            </w:tcMar>
            <w:vAlign w:val="center"/>
          </w:tcPr>
          <w:p>
            <w:pPr>
              <w:spacing w:after="0"/>
              <w:jc w:val="center"/>
            </w:pPr>
            <w:r>
              <w:rPr>
                <w:b w:val="false"/>
                <w:bCs w:val="false"/>
                <w:color w:val="222222"/>
                <w:sz w:val="17"/>
                <w:szCs w:val="17"/>
              </w:rPr>
              <w:t xml:space="preserve">—</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2</w:t>
            </w:r>
          </w:p>
        </w:tc>
        <w:tc>
          <w:tcPr>
            <w:tcW w:type="dxa" w:w="1470"/>
            <w:tcMar>
              <w:top w:type="dxa" w:w="65"/>
              <w:left w:type="dxa" w:w="70"/>
              <w:bottom w:type="dxa" w:w="65"/>
              <w:right w:type="dxa" w:w="70"/>
            </w:tcMar>
            <w:vAlign w:val="center"/>
          </w:tcPr>
          <w:p>
            <w:pPr>
              <w:spacing w:after="0"/>
              <w:jc w:val="center"/>
            </w:pPr>
            <w:r>
              <w:rPr>
                <w:b w:val="false"/>
                <w:bCs w:val="false"/>
                <w:color w:val="222222"/>
                <w:sz w:val="17"/>
                <w:szCs w:val="17"/>
              </w:rPr>
              <w:t xml:space="preserve">-3.678</w:t>
            </w:r>
          </w:p>
        </w:tc>
        <w:tc>
          <w:tcPr>
            <w:tcW w:type="dxa" w:w="2530"/>
            <w:tcMar>
              <w:top w:type="dxa" w:w="65"/>
              <w:left w:type="dxa" w:w="70"/>
              <w:bottom w:type="dxa" w:w="65"/>
              <w:right w:type="dxa" w:w="70"/>
            </w:tcMar>
            <w:vAlign w:val="center"/>
          </w:tcPr>
          <w:p>
            <w:pPr>
              <w:spacing w:after="0"/>
              <w:jc w:val="center"/>
            </w:pPr>
            <w:r>
              <w:rPr>
                <w:b w:val="false"/>
                <w:bCs w:val="false"/>
                <w:color w:val="222222"/>
                <w:sz w:val="17"/>
                <w:szCs w:val="17"/>
              </w:rPr>
              <w:t xml:space="preserve">-3.801 to -3.556</w:t>
            </w:r>
          </w:p>
        </w:tc>
      </w:tr>
    </w:tbl>
    <w:p>
      <w:pPr>
        <w:spacing w:after="105" w:line="276"/>
        <w:jc w:val="left"/>
      </w:pPr>
      <w:r>
        <w:rPr>
          <w:b w:val="false"/>
          <w:bCs w:val="false"/>
          <w:i/>
          <w:iCs/>
          <w:color w:val="666666"/>
          <w:sz w:val="18"/>
          <w:szCs w:val="18"/>
        </w:rPr>
        <w:t xml:space="preserve">The two PLDC C_COOH atoms form a separated feature with mean shift −3.678 eV (range −3.801 to −3.556 eV). This sign follows the Quantum ESPRESSO initial-state convention above.</w:t>
      </w:r>
    </w:p>
    <w:p>
      <w:pPr>
        <w:spacing w:after="90" w:before="90"/>
        <w:jc w:val="center"/>
      </w:pPr>
      <w:r>
        <w:drawing>
          <wp:inline distT="0" distB="0" distL="0" distR="0">
            <wp:extent cx="6286500" cy="3314700"/>
            <wp:effectExtent t="0" r="0" b="0" l="0"/>
            <wp:docPr id="1" name="Group means" descr="Mean carbon shifts and per-group site ranges for Planar and PLDC." title="Carbon group mean sh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314700"/>
                    </a:xfrm>
                    <a:prstGeom prst="rect">
                      <a:avLst/>
                    </a:prstGeom>
                  </pic:spPr>
                </pic:pic>
              </a:graphicData>
            </a:graphic>
          </wp:inline>
        </w:drawing>
      </w:r>
    </w:p>
    <w:p>
      <w:r>
        <w:br w:type="page"/>
      </w:r>
    </w:p>
    <w:p>
      <w:pPr>
        <w:pStyle w:val="Heading1"/>
        <w:spacing w:after="80" w:before="190"/>
      </w:pPr>
      <w:r>
        <w:t xml:space="preserve">Calculation details</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2450"/>
        <w:gridCol w:w="6910"/>
      </w:tblGrid>
      <w:tr>
        <w:tc>
          <w:tcPr>
            <w:tcW w:type="dxa" w:w="2450"/>
            <w:shd w:fill="DDEAF5" w:val="clear"/>
            <w:tcMar>
              <w:top w:type="dxa" w:w="65"/>
              <w:left w:type="dxa" w:w="75"/>
              <w:bottom w:type="dxa" w:w="65"/>
              <w:right w:type="dxa" w:w="75"/>
            </w:tcMar>
          </w:tcPr>
          <w:p>
            <w:pPr>
              <w:spacing w:after="0"/>
            </w:pPr>
            <w:r>
              <w:rPr>
                <w:b/>
                <w:bCs/>
                <w:color w:val="17365D"/>
                <w:sz w:val="17"/>
                <w:szCs w:val="17"/>
              </w:rPr>
              <w:t xml:space="preserve">Structures</w:t>
            </w:r>
          </w:p>
        </w:tc>
        <w:tc>
          <w:tcPr>
            <w:tcW w:type="dxa" w:w="6910"/>
            <w:shd w:fill="F8FAFC" w:val="clear"/>
            <w:tcMar>
              <w:top w:type="dxa" w:w="65"/>
              <w:left w:type="dxa" w:w="75"/>
              <w:bottom w:type="dxa" w:w="65"/>
              <w:right w:type="dxa" w:w="75"/>
            </w:tcMar>
          </w:tcPr>
          <w:p>
            <w:pPr>
              <w:spacing w:after="0"/>
            </w:pPr>
            <w:r>
              <w:rPr>
                <w:sz w:val="17"/>
                <w:szCs w:val="17"/>
              </w:rPr>
              <w:t xml:space="preserve">Planar ZnC44H28N4 (77 atoms); PLDC–COOH ZnC46H28N4O4 (83 atoms)</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Electronic model</w:t>
            </w:r>
          </w:p>
        </w:tc>
        <w:tc>
          <w:tcPr>
            <w:tcW w:type="dxa" w:w="6910"/>
            <w:shd w:fill="FFFFFF" w:val="clear"/>
            <w:tcMar>
              <w:top w:type="dxa" w:w="65"/>
              <w:left w:type="dxa" w:w="75"/>
              <w:bottom w:type="dxa" w:w="65"/>
              <w:right w:type="dxa" w:w="75"/>
            </w:tcMar>
          </w:tcPr>
          <w:p>
            <w:pPr>
              <w:spacing w:after="0"/>
            </w:pPr>
            <w:r>
              <w:rPr>
                <w:sz w:val="17"/>
                <w:szCs w:val="17"/>
              </w:rPr>
              <w:t xml:space="preserve">Neutral, closed-shell single-point calculations</w:t>
            </w:r>
          </w:p>
        </w:tc>
      </w:tr>
      <w:tr>
        <w:tc>
          <w:tcPr>
            <w:tcW w:type="dxa" w:w="2450"/>
            <w:shd w:fill="DDEAF5" w:val="clear"/>
            <w:tcMar>
              <w:top w:type="dxa" w:w="65"/>
              <w:left w:type="dxa" w:w="75"/>
              <w:bottom w:type="dxa" w:w="65"/>
              <w:right w:type="dxa" w:w="75"/>
            </w:tcMar>
          </w:tcPr>
          <w:p>
            <w:pPr>
              <w:spacing w:after="0"/>
            </w:pPr>
            <w:r>
              <w:rPr>
                <w:b/>
                <w:bCs/>
                <w:color w:val="17365D"/>
                <w:sz w:val="17"/>
                <w:szCs w:val="17"/>
              </w:rPr>
              <w:t xml:space="preserve">Quantum ESPRESSO</w:t>
            </w:r>
          </w:p>
        </w:tc>
        <w:tc>
          <w:tcPr>
            <w:tcW w:type="dxa" w:w="6910"/>
            <w:shd w:fill="F8FAFC" w:val="clear"/>
            <w:tcMar>
              <w:top w:type="dxa" w:w="65"/>
              <w:left w:type="dxa" w:w="75"/>
              <w:bottom w:type="dxa" w:w="65"/>
              <w:right w:type="dxa" w:w="75"/>
            </w:tcMar>
          </w:tcPr>
          <w:p>
            <w:pPr>
              <w:spacing w:after="0"/>
            </w:pPr>
            <w:r>
              <w:rPr>
                <w:sz w:val="17"/>
                <w:szCs w:val="17"/>
              </w:rPr>
              <w:t xml:space="preserve">Version 7.5; pw.x followed by initial_state.x</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Exchange–correlation</w:t>
            </w:r>
          </w:p>
        </w:tc>
        <w:tc>
          <w:tcPr>
            <w:tcW w:type="dxa" w:w="6910"/>
            <w:shd w:fill="FFFFFF" w:val="clear"/>
            <w:tcMar>
              <w:top w:type="dxa" w:w="65"/>
              <w:left w:type="dxa" w:w="75"/>
              <w:bottom w:type="dxa" w:w="65"/>
              <w:right w:type="dxa" w:w="75"/>
            </w:tcMar>
          </w:tcPr>
          <w:p>
            <w:pPr>
              <w:spacing w:after="0"/>
            </w:pPr>
            <w:r>
              <w:rPr>
                <w:sz w:val="17"/>
                <w:szCs w:val="17"/>
              </w:rPr>
              <w:t xml:space="preserve">PBE</w:t>
            </w:r>
          </w:p>
        </w:tc>
      </w:tr>
      <w:tr>
        <w:tc>
          <w:tcPr>
            <w:tcW w:type="dxa" w:w="2450"/>
            <w:shd w:fill="DDEAF5" w:val="clear"/>
            <w:tcMar>
              <w:top w:type="dxa" w:w="65"/>
              <w:left w:type="dxa" w:w="75"/>
              <w:bottom w:type="dxa" w:w="65"/>
              <w:right w:type="dxa" w:w="75"/>
            </w:tcMar>
          </w:tcPr>
          <w:p>
            <w:pPr>
              <w:spacing w:after="0"/>
            </w:pPr>
            <w:r>
              <w:rPr>
                <w:b/>
                <w:bCs/>
                <w:color w:val="17365D"/>
                <w:sz w:val="17"/>
                <w:szCs w:val="17"/>
              </w:rPr>
              <w:t xml:space="preserve">Cell / isolation</w:t>
            </w:r>
          </w:p>
        </w:tc>
        <w:tc>
          <w:tcPr>
            <w:tcW w:type="dxa" w:w="6910"/>
            <w:shd w:fill="F8FAFC" w:val="clear"/>
            <w:tcMar>
              <w:top w:type="dxa" w:w="65"/>
              <w:left w:type="dxa" w:w="75"/>
              <w:bottom w:type="dxa" w:w="65"/>
              <w:right w:type="dxa" w:w="75"/>
            </w:tcMar>
          </w:tcPr>
          <w:p>
            <w:pPr>
              <w:spacing w:after="0"/>
            </w:pPr>
            <w:r>
              <w:rPr>
                <w:sz w:val="17"/>
                <w:szCs w:val="17"/>
              </w:rPr>
              <w:t xml:space="preserve">25 Å cubic cell; Martyna–Tuckerman isolated correction; Γ point</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Plane-wave cutoffs</w:t>
            </w:r>
          </w:p>
        </w:tc>
        <w:tc>
          <w:tcPr>
            <w:tcW w:type="dxa" w:w="6910"/>
            <w:shd w:fill="FFFFFF" w:val="clear"/>
            <w:tcMar>
              <w:top w:type="dxa" w:w="65"/>
              <w:left w:type="dxa" w:w="75"/>
              <w:bottom w:type="dxa" w:w="65"/>
              <w:right w:type="dxa" w:w="75"/>
            </w:tcMar>
          </w:tcPr>
          <w:p>
            <w:pPr>
              <w:spacing w:after="0"/>
            </w:pPr>
            <w:r>
              <w:rPr>
                <w:sz w:val="17"/>
                <w:szCs w:val="17"/>
              </w:rPr>
              <w:t xml:space="preserve">30 Ry wave functions; 180 Ry charge density</w:t>
            </w:r>
          </w:p>
        </w:tc>
      </w:tr>
      <w:tr>
        <w:tc>
          <w:tcPr>
            <w:tcW w:type="dxa" w:w="2450"/>
            <w:shd w:fill="DDEAF5" w:val="clear"/>
            <w:tcMar>
              <w:top w:type="dxa" w:w="65"/>
              <w:left w:type="dxa" w:w="75"/>
              <w:bottom w:type="dxa" w:w="65"/>
              <w:right w:type="dxa" w:w="75"/>
            </w:tcMar>
          </w:tcPr>
          <w:p>
            <w:pPr>
              <w:spacing w:after="0"/>
            </w:pPr>
            <w:r>
              <w:rPr>
                <w:b/>
                <w:bCs/>
                <w:color w:val="17365D"/>
                <w:sz w:val="17"/>
                <w:szCs w:val="17"/>
              </w:rPr>
              <w:t xml:space="preserve">Occupations</w:t>
            </w:r>
          </w:p>
        </w:tc>
        <w:tc>
          <w:tcPr>
            <w:tcW w:type="dxa" w:w="6910"/>
            <w:shd w:fill="F8FAFC" w:val="clear"/>
            <w:tcMar>
              <w:top w:type="dxa" w:w="65"/>
              <w:left w:type="dxa" w:w="75"/>
              <w:bottom w:type="dxa" w:w="65"/>
              <w:right w:type="dxa" w:w="75"/>
            </w:tcMar>
          </w:tcPr>
          <w:p>
            <w:pPr>
              <w:spacing w:after="0"/>
            </w:pPr>
            <w:r>
              <w:rPr>
                <w:sz w:val="17"/>
                <w:szCs w:val="17"/>
              </w:rPr>
              <w:t xml:space="preserve">Marzari–Vanderbilt smearing, 0.02 Ry</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Convergence</w:t>
            </w:r>
          </w:p>
        </w:tc>
        <w:tc>
          <w:tcPr>
            <w:tcW w:type="dxa" w:w="6910"/>
            <w:shd w:fill="FFFFFF" w:val="clear"/>
            <w:tcMar>
              <w:top w:type="dxa" w:w="65"/>
              <w:left w:type="dxa" w:w="75"/>
              <w:bottom w:type="dxa" w:w="65"/>
              <w:right w:type="dxa" w:w="75"/>
            </w:tcMar>
          </w:tcPr>
          <w:p>
            <w:pPr>
              <w:spacing w:after="0"/>
            </w:pPr>
            <w:r>
              <w:rPr>
                <w:sz w:val="17"/>
                <w:szCs w:val="17"/>
              </w:rPr>
              <w:t xml:space="preserve">conv_thr = 1×10⁻⁶ Ry; local-TF mixing, β = 0.20</w:t>
            </w:r>
          </w:p>
        </w:tc>
      </w:tr>
      <w:tr>
        <w:tc>
          <w:tcPr>
            <w:tcW w:type="dxa" w:w="2450"/>
            <w:shd w:fill="DDEAF5" w:val="clear"/>
            <w:tcMar>
              <w:top w:type="dxa" w:w="65"/>
              <w:left w:type="dxa" w:w="75"/>
              <w:bottom w:type="dxa" w:w="65"/>
              <w:right w:type="dxa" w:w="75"/>
            </w:tcMar>
          </w:tcPr>
          <w:p>
            <w:pPr>
              <w:spacing w:after="0"/>
            </w:pPr>
            <w:r>
              <w:rPr>
                <w:b/>
                <w:bCs/>
                <w:color w:val="17365D"/>
                <w:sz w:val="17"/>
                <w:szCs w:val="17"/>
              </w:rPr>
              <w:t xml:space="preserve">Execution</w:t>
            </w:r>
          </w:p>
        </w:tc>
        <w:tc>
          <w:tcPr>
            <w:tcW w:type="dxa" w:w="6910"/>
            <w:shd w:fill="F8FAFC" w:val="clear"/>
            <w:tcMar>
              <w:top w:type="dxa" w:w="65"/>
              <w:left w:type="dxa" w:w="75"/>
              <w:bottom w:type="dxa" w:w="65"/>
              <w:right w:type="dxa" w:w="75"/>
            </w:tcMar>
          </w:tcPr>
          <w:p>
            <w:pPr>
              <w:spacing w:after="0"/>
            </w:pPr>
            <w:r>
              <w:rPr>
                <w:sz w:val="17"/>
                <w:szCs w:val="17"/>
              </w:rPr>
              <w:t xml:space="preserve">4 MPI processes</w:t>
            </w:r>
          </w:p>
        </w:tc>
      </w:tr>
    </w:tbl>
    <w:p>
      <w:pPr>
        <w:pStyle w:val="Heading2"/>
        <w:spacing w:after="80" w:before="190"/>
      </w:pPr>
      <w:r>
        <w:t xml:space="preserve">Convergence and runtime</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2450"/>
        <w:gridCol w:w="6910"/>
      </w:tblGrid>
      <w:tr>
        <w:tc>
          <w:tcPr>
            <w:tcW w:type="dxa" w:w="2450"/>
            <w:shd w:fill="DDEAF5" w:val="clear"/>
            <w:tcMar>
              <w:top w:type="dxa" w:w="65"/>
              <w:left w:type="dxa" w:w="75"/>
              <w:bottom w:type="dxa" w:w="65"/>
              <w:right w:type="dxa" w:w="75"/>
            </w:tcMar>
          </w:tcPr>
          <w:p>
            <w:pPr>
              <w:spacing w:after="0"/>
            </w:pPr>
            <w:r>
              <w:rPr>
                <w:b/>
                <w:bCs/>
                <w:color w:val="17365D"/>
                <w:sz w:val="17"/>
                <w:szCs w:val="17"/>
              </w:rPr>
              <w:t xml:space="preserve">Planar SCF</w:t>
            </w:r>
          </w:p>
        </w:tc>
        <w:tc>
          <w:tcPr>
            <w:tcW w:type="dxa" w:w="6910"/>
            <w:shd w:fill="F8FAFC" w:val="clear"/>
            <w:tcMar>
              <w:top w:type="dxa" w:w="65"/>
              <w:left w:type="dxa" w:w="75"/>
              <w:bottom w:type="dxa" w:w="65"/>
              <w:right w:type="dxa" w:w="75"/>
            </w:tcMar>
          </w:tcPr>
          <w:p>
            <w:pPr>
              <w:spacing w:after="0"/>
            </w:pPr>
            <w:r>
              <w:rPr>
                <w:sz w:val="17"/>
                <w:szCs w:val="17"/>
              </w:rPr>
              <w:t xml:space="preserve">32 iterations; −739.91431933 Ry; 15 min 05 s wall</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Planar initial_state.x</w:t>
            </w:r>
          </w:p>
        </w:tc>
        <w:tc>
          <w:tcPr>
            <w:tcW w:type="dxa" w:w="6910"/>
            <w:shd w:fill="FFFFFF" w:val="clear"/>
            <w:tcMar>
              <w:top w:type="dxa" w:w="65"/>
              <w:left w:type="dxa" w:w="75"/>
              <w:bottom w:type="dxa" w:w="65"/>
              <w:right w:type="dxa" w:w="75"/>
            </w:tcMar>
          </w:tcPr>
          <w:p>
            <w:pPr>
              <w:spacing w:after="0"/>
            </w:pPr>
            <w:r>
              <w:rPr>
                <w:sz w:val="17"/>
                <w:szCs w:val="17"/>
              </w:rPr>
              <w:t xml:space="preserve">13.14 s wall</w:t>
            </w:r>
          </w:p>
        </w:tc>
      </w:tr>
      <w:tr>
        <w:tc>
          <w:tcPr>
            <w:tcW w:type="dxa" w:w="2450"/>
            <w:shd w:fill="DDEAF5" w:val="clear"/>
            <w:tcMar>
              <w:top w:type="dxa" w:w="65"/>
              <w:left w:type="dxa" w:w="75"/>
              <w:bottom w:type="dxa" w:w="65"/>
              <w:right w:type="dxa" w:w="75"/>
            </w:tcMar>
          </w:tcPr>
          <w:p>
            <w:pPr>
              <w:spacing w:after="0"/>
            </w:pPr>
            <w:r>
              <w:rPr>
                <w:b/>
                <w:bCs/>
                <w:color w:val="17365D"/>
                <w:sz w:val="17"/>
                <w:szCs w:val="17"/>
              </w:rPr>
              <w:t xml:space="preserve">PLDC–COOH SCF</w:t>
            </w:r>
          </w:p>
        </w:tc>
        <w:tc>
          <w:tcPr>
            <w:tcW w:type="dxa" w:w="6910"/>
            <w:shd w:fill="F8FAFC" w:val="clear"/>
            <w:tcMar>
              <w:top w:type="dxa" w:w="65"/>
              <w:left w:type="dxa" w:w="75"/>
              <w:bottom w:type="dxa" w:w="65"/>
              <w:right w:type="dxa" w:w="75"/>
            </w:tcMar>
          </w:tcPr>
          <w:p>
            <w:pPr>
              <w:spacing w:after="0"/>
            </w:pPr>
            <w:r>
              <w:rPr>
                <w:sz w:val="17"/>
                <w:szCs w:val="17"/>
              </w:rPr>
              <w:t xml:space="preserve">40 iterations; −890.04265055 Ry; final accuracy 5.6×10⁻⁷ Ry</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PLDC–COOH SCF runtime</w:t>
            </w:r>
          </w:p>
        </w:tc>
        <w:tc>
          <w:tcPr>
            <w:tcW w:type="dxa" w:w="6910"/>
            <w:shd w:fill="FFFFFF" w:val="clear"/>
            <w:tcMar>
              <w:top w:type="dxa" w:w="65"/>
              <w:left w:type="dxa" w:w="75"/>
              <w:bottom w:type="dxa" w:w="65"/>
              <w:right w:type="dxa" w:w="75"/>
            </w:tcMar>
          </w:tcPr>
          <w:p>
            <w:pPr>
              <w:spacing w:after="0"/>
            </w:pPr>
            <w:r>
              <w:rPr>
                <w:sz w:val="17"/>
                <w:szCs w:val="17"/>
              </w:rPr>
              <w:t xml:space="preserve">1 h 38 min wall</w:t>
            </w:r>
          </w:p>
        </w:tc>
      </w:tr>
      <w:tr>
        <w:tc>
          <w:tcPr>
            <w:tcW w:type="dxa" w:w="2450"/>
            <w:shd w:fill="DDEAF5" w:val="clear"/>
            <w:tcMar>
              <w:top w:type="dxa" w:w="65"/>
              <w:left w:type="dxa" w:w="75"/>
              <w:bottom w:type="dxa" w:w="65"/>
              <w:right w:type="dxa" w:w="75"/>
            </w:tcMar>
          </w:tcPr>
          <w:p>
            <w:pPr>
              <w:spacing w:after="0"/>
            </w:pPr>
            <w:r>
              <w:rPr>
                <w:b/>
                <w:bCs/>
                <w:color w:val="17365D"/>
                <w:sz w:val="17"/>
                <w:szCs w:val="17"/>
              </w:rPr>
              <w:t xml:space="preserve">PLDC–COOH initial_state.x</w:t>
            </w:r>
          </w:p>
        </w:tc>
        <w:tc>
          <w:tcPr>
            <w:tcW w:type="dxa" w:w="6910"/>
            <w:shd w:fill="F8FAFC" w:val="clear"/>
            <w:tcMar>
              <w:top w:type="dxa" w:w="65"/>
              <w:left w:type="dxa" w:w="75"/>
              <w:bottom w:type="dxa" w:w="65"/>
              <w:right w:type="dxa" w:w="75"/>
            </w:tcMar>
          </w:tcPr>
          <w:p>
            <w:pPr>
              <w:spacing w:after="0"/>
            </w:pPr>
            <w:r>
              <w:rPr>
                <w:sz w:val="17"/>
                <w:szCs w:val="17"/>
              </w:rPr>
              <w:t xml:space="preserve">1 min 06 s wall</w:t>
            </w:r>
          </w:p>
        </w:tc>
      </w:tr>
    </w:tbl>
    <w:p>
      <w:pPr>
        <w:pStyle w:val="Heading2"/>
        <w:spacing w:after="80" w:before="190"/>
      </w:pPr>
      <w:r>
        <w:t xml:space="preserve">Important modeling note</w:t>
      </w:r>
    </w:p>
    <w:p>
      <w:pPr>
        <w:spacing w:after="105" w:line="276"/>
        <w:jc w:val="left"/>
      </w:pPr>
      <w:r>
        <w:rPr>
          <w:b w:val="false"/>
          <w:bCs w:val="false"/>
          <w:i w:val="false"/>
          <w:iCs w:val="false"/>
          <w:sz w:val="20"/>
          <w:szCs w:val="20"/>
        </w:rPr>
        <w:t xml:space="preserve">The two O–H positions were constructed with 0.98 Å bonds by extending the longer C–O direction in each supplied carboxyl group. No geometry optimization was performed after proton placement. The reported PLDC shifts are therefore single-point values for this constructed neutral geometry; geometry optimization and cutoff/cell convergence should precede publication-quality interpretation.</w:t>
      </w:r>
    </w:p>
    <w:p>
      <w:pPr>
        <w:pStyle w:val="Heading2"/>
        <w:spacing w:after="80" w:before="190"/>
      </w:pPr>
      <w:r>
        <w:t xml:space="preserve">Files</w:t>
      </w:r>
    </w:p>
    <w:tbl>
      <w:tblPr>
        <w:tblW w:type="dxa" w:w="9360"/>
        <w:tblBorders>
          <w:top w:val="single" w:color="B7C3D0" w:sz="4"/>
          <w:left w:val="single" w:color="B7C3D0" w:sz="4"/>
          <w:bottom w:val="single" w:color="B7C3D0" w:sz="4"/>
          <w:right w:val="single" w:color="B7C3D0" w:sz="4"/>
          <w:insideH w:val="single" w:color="D9E0E7" w:sz="3"/>
          <w:insideV w:val="single" w:color="D9E0E7" w:sz="3"/>
        </w:tblBorders>
      </w:tblPr>
      <w:tblGrid>
        <w:gridCol w:w="2450"/>
        <w:gridCol w:w="6910"/>
      </w:tblGrid>
      <w:tr>
        <w:tc>
          <w:tcPr>
            <w:tcW w:type="dxa" w:w="2450"/>
            <w:shd w:fill="DDEAF5" w:val="clear"/>
            <w:tcMar>
              <w:top w:type="dxa" w:w="65"/>
              <w:left w:type="dxa" w:w="75"/>
              <w:bottom w:type="dxa" w:w="65"/>
              <w:right w:type="dxa" w:w="75"/>
            </w:tcMar>
          </w:tcPr>
          <w:p>
            <w:pPr>
              <w:spacing w:after="0"/>
            </w:pPr>
            <w:r>
              <w:rPr>
                <w:b/>
                <w:bCs/>
                <w:color w:val="17365D"/>
                <w:sz w:val="17"/>
                <w:szCs w:val="17"/>
              </w:rPr>
              <w:t xml:space="preserve">inputs/</w:t>
            </w:r>
          </w:p>
        </w:tc>
        <w:tc>
          <w:tcPr>
            <w:tcW w:type="dxa" w:w="6910"/>
            <w:shd w:fill="F8FAFC" w:val="clear"/>
            <w:tcMar>
              <w:top w:type="dxa" w:w="65"/>
              <w:left w:type="dxa" w:w="75"/>
              <w:bottom w:type="dxa" w:w="65"/>
              <w:right w:type="dxa" w:w="75"/>
            </w:tcMar>
          </w:tcPr>
          <w:p>
            <w:pPr>
              <w:spacing w:after="0"/>
            </w:pPr>
            <w:r>
              <w:rPr>
                <w:sz w:val="17"/>
                <w:szCs w:val="17"/>
              </w:rPr>
              <w:t xml:space="preserve">PLDC SCF and initial_state.x input files</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outputs/</w:t>
            </w:r>
          </w:p>
        </w:tc>
        <w:tc>
          <w:tcPr>
            <w:tcW w:type="dxa" w:w="6910"/>
            <w:shd w:fill="FFFFFF" w:val="clear"/>
            <w:tcMar>
              <w:top w:type="dxa" w:w="65"/>
              <w:left w:type="dxa" w:w="75"/>
              <w:bottom w:type="dxa" w:w="65"/>
              <w:right w:type="dxa" w:w="75"/>
            </w:tcMar>
          </w:tcPr>
          <w:p>
            <w:pPr>
              <w:spacing w:after="0"/>
            </w:pPr>
            <w:r>
              <w:rPr>
                <w:sz w:val="17"/>
                <w:szCs w:val="17"/>
              </w:rPr>
              <w:t xml:space="preserve">Converged pw.x and initial_state.x output files</w:t>
            </w:r>
          </w:p>
        </w:tc>
      </w:tr>
      <w:tr>
        <w:tc>
          <w:tcPr>
            <w:tcW w:type="dxa" w:w="2450"/>
            <w:shd w:fill="DDEAF5" w:val="clear"/>
            <w:tcMar>
              <w:top w:type="dxa" w:w="65"/>
              <w:left w:type="dxa" w:w="75"/>
              <w:bottom w:type="dxa" w:w="65"/>
              <w:right w:type="dxa" w:w="75"/>
            </w:tcMar>
          </w:tcPr>
          <w:p>
            <w:pPr>
              <w:spacing w:after="0"/>
            </w:pPr>
            <w:r>
              <w:rPr>
                <w:b/>
                <w:bCs/>
                <w:color w:val="17365D"/>
                <w:sz w:val="17"/>
                <w:szCs w:val="17"/>
              </w:rPr>
              <w:t xml:space="preserve">restart_data/</w:t>
            </w:r>
          </w:p>
        </w:tc>
        <w:tc>
          <w:tcPr>
            <w:tcW w:type="dxa" w:w="6910"/>
            <w:shd w:fill="F8FAFC" w:val="clear"/>
            <w:tcMar>
              <w:top w:type="dxa" w:w="65"/>
              <w:left w:type="dxa" w:w="75"/>
              <w:bottom w:type="dxa" w:w="65"/>
              <w:right w:type="dxa" w:w="75"/>
            </w:tcMar>
          </w:tcPr>
          <w:p>
            <w:pPr>
              <w:spacing w:after="0"/>
            </w:pPr>
            <w:r>
              <w:rPr>
                <w:sz w:val="17"/>
                <w:szCs w:val="17"/>
              </w:rPr>
              <w:t xml:space="preserve">Quantum ESPRESSO save directory for restarting/post-processing</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scripts/</w:t>
            </w:r>
          </w:p>
        </w:tc>
        <w:tc>
          <w:tcPr>
            <w:tcW w:type="dxa" w:w="6910"/>
            <w:shd w:fill="FFFFFF" w:val="clear"/>
            <w:tcMar>
              <w:top w:type="dxa" w:w="65"/>
              <w:left w:type="dxa" w:w="75"/>
              <w:bottom w:type="dxa" w:w="65"/>
              <w:right w:type="dxa" w:w="75"/>
            </w:tcMar>
          </w:tcPr>
          <w:p>
            <w:pPr>
              <w:spacing w:after="0"/>
            </w:pPr>
            <w:r>
              <w:rPr>
                <w:sz w:val="17"/>
                <w:szCs w:val="17"/>
              </w:rPr>
              <w:t xml:space="preserve">Preparation and all-carbon comparison scripts</w:t>
            </w:r>
          </w:p>
        </w:tc>
      </w:tr>
      <w:tr>
        <w:tc>
          <w:tcPr>
            <w:tcW w:type="dxa" w:w="2450"/>
            <w:shd w:fill="DDEAF5" w:val="clear"/>
            <w:tcMar>
              <w:top w:type="dxa" w:w="65"/>
              <w:left w:type="dxa" w:w="75"/>
              <w:bottom w:type="dxa" w:w="65"/>
              <w:right w:type="dxa" w:w="75"/>
            </w:tcMar>
          </w:tcPr>
          <w:p>
            <w:pPr>
              <w:spacing w:after="0"/>
            </w:pPr>
            <w:r>
              <w:rPr>
                <w:b/>
                <w:bCs/>
                <w:color w:val="17365D"/>
                <w:sz w:val="17"/>
                <w:szCs w:val="17"/>
              </w:rPr>
              <w:t xml:space="preserve">CSV files</w:t>
            </w:r>
          </w:p>
        </w:tc>
        <w:tc>
          <w:tcPr>
            <w:tcW w:type="dxa" w:w="6910"/>
            <w:shd w:fill="F8FAFC" w:val="clear"/>
            <w:tcMar>
              <w:top w:type="dxa" w:w="65"/>
              <w:left w:type="dxa" w:w="75"/>
              <w:bottom w:type="dxa" w:w="65"/>
              <w:right w:type="dxa" w:w="75"/>
            </w:tcMar>
          </w:tcPr>
          <w:p>
            <w:pPr>
              <w:spacing w:after="0"/>
            </w:pPr>
            <w:r>
              <w:rPr>
                <w:sz w:val="17"/>
                <w:szCs w:val="17"/>
              </w:rPr>
              <w:t xml:space="preserve">Per-atom Planar, PLDC, combined, and group-summary data</w:t>
            </w:r>
          </w:p>
        </w:tc>
      </w:tr>
      <w:tr>
        <w:tc>
          <w:tcPr>
            <w:tcW w:type="dxa" w:w="2450"/>
            <w:shd w:fill="EDF3F8" w:val="clear"/>
            <w:tcMar>
              <w:top w:type="dxa" w:w="65"/>
              <w:left w:type="dxa" w:w="75"/>
              <w:bottom w:type="dxa" w:w="65"/>
              <w:right w:type="dxa" w:w="75"/>
            </w:tcMar>
          </w:tcPr>
          <w:p>
            <w:pPr>
              <w:spacing w:after="0"/>
            </w:pPr>
            <w:r>
              <w:rPr>
                <w:b/>
                <w:bCs/>
                <w:color w:val="17365D"/>
                <w:sz w:val="17"/>
                <w:szCs w:val="17"/>
              </w:rPr>
              <w:t xml:space="preserve">PNG/PDF files</w:t>
            </w:r>
          </w:p>
        </w:tc>
        <w:tc>
          <w:tcPr>
            <w:tcW w:type="dxa" w:w="6910"/>
            <w:shd w:fill="FFFFFF" w:val="clear"/>
            <w:tcMar>
              <w:top w:type="dxa" w:w="65"/>
              <w:left w:type="dxa" w:w="75"/>
              <w:bottom w:type="dxa" w:w="65"/>
              <w:right w:type="dxa" w:w="75"/>
            </w:tcMar>
          </w:tcPr>
          <w:p>
            <w:pPr>
              <w:spacing w:after="0"/>
            </w:pPr>
            <w:r>
              <w:rPr>
                <w:sz w:val="17"/>
                <w:szCs w:val="17"/>
              </w:rPr>
              <w:t xml:space="preserve">Full-range, zoomed, and group-mean comparison figures</w:t>
            </w:r>
          </w:p>
        </w:tc>
      </w:tr>
    </w:tbl>
    <w:sectPr>
      <w:headerReference w:type="default" r:id="rId7"/>
      <w:footerReference w:type="default" r:id="rId8"/>
      <w:pgSz w:w="12240" w:h="15840" w:orient="portrait"/>
      <w:pgMar w:top="850" w:right="900" w:bottom="800" w:left="900" w:header="38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7A8793"/>
        <w:sz w:val="15"/>
        <w:szCs w:val="15"/>
      </w:rPr>
      <w:t xml:space="preserve">Planar–PLDC all-carbon report  |  </w:t>
    </w:r>
    <w:r>
      <w:rPr>
        <w:color w:val="7A879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7A8793"/>
        <w:sz w:val="15"/>
        <w:szCs w:val="15"/>
      </w:rPr>
      <w:t xml:space="preserve">QUANTUM ESPRESSO · C 1s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pPr>
        <w:spacing w:after="105"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color w:val="17365D"/>
      <w:sz w:val="40"/>
      <w:szCs w:val="40"/>
    </w:rPr>
  </w:style>
  <w:style w:type="paragraph" w:styleId="Subtitle">
    <w:name w:val="Subtitle"/>
    <w:basedOn w:val="Normal"/>
    <w:next w:val="Normal"/>
    <w:pPr>
      <w:spacing w:after="160"/>
      <w:jc w:val="center"/>
    </w:pPr>
    <w:rPr>
      <w:rFonts w:ascii="Arial" w:cs="Arial" w:eastAsia="Arial" w:hAnsi="Arial"/>
      <w:color w:val="666666"/>
      <w:sz w:val="21"/>
      <w:szCs w:val="21"/>
    </w:rPr>
  </w:style>
  <w:style w:type="paragraph" w:styleId="Heading1">
    <w:name w:val="Heading 1"/>
    <w:basedOn w:val="Normal"/>
    <w:next w:val="Normal"/>
    <w:qFormat/>
    <w:pPr>
      <w:keepNext/>
      <w:spacing w:after="80" w:before="190"/>
      <w:outlineLvl w:val="0"/>
    </w:pPr>
    <w:rPr>
      <w:rFonts w:ascii="Arial" w:cs="Arial" w:eastAsia="Arial" w:hAnsi="Arial"/>
      <w:b/>
      <w:bCs/>
      <w:color w:val="17365D"/>
      <w:sz w:val="27"/>
      <w:szCs w:val="27"/>
    </w:rPr>
  </w:style>
  <w:style w:type="paragraph" w:styleId="Heading2">
    <w:name w:val="Heading 2"/>
    <w:basedOn w:val="Normal"/>
    <w:next w:val="Normal"/>
    <w:qFormat/>
    <w:pPr>
      <w:keepNext/>
      <w:spacing w:after="65" w:before="140"/>
      <w:outlineLvl w:val="1"/>
    </w:pPr>
    <w:rPr>
      <w:rFonts w:ascii="Arial" w:cs="Arial" w:eastAsia="Arial" w:hAnsi="Arial"/>
      <w:b/>
      <w:bCs/>
      <w:color w:val="2F75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4cd7ceec8aaddb8f3d19485d0c897d73ca9969.png"/><Relationship Id="rId10" Type="http://schemas.openxmlformats.org/officeDocument/2006/relationships/image" Target="media/48bd8056d87cda8377f12646f0df3350a90da6c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2026-08-01T15:59:44.958Z</dcterms:created>
  <dcterms:modified xsi:type="dcterms:W3CDTF">2026-08-01T15:59:44.963Z</dcterms:modified>
</cp:coreProperties>
</file>

<file path=docProps/custom.xml><?xml version="1.0" encoding="utf-8"?>
<Properties xmlns="http://schemas.openxmlformats.org/officeDocument/2006/custom-properties" xmlns:vt="http://schemas.openxmlformats.org/officeDocument/2006/docPropsVTypes"/>
</file>