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Planar and Protonated PLDC</w:t>
      </w:r>
    </w:p>
    <w:p>
      <w:pPr>
        <w:pStyle w:val="Title"/>
      </w:pPr>
      <w:r>
        <w:t xml:space="preserve">All-Carbon Core-Level Shifts</w:t>
      </w:r>
    </w:p>
    <w:p>
      <w:pPr>
        <w:pStyle w:val="Subtitle"/>
      </w:pPr>
      <w:r>
        <w:t xml:space="preserve">Quantum ESPRESSO initial-state calculation, atom grouping, parameter rationale, spectra, and runtime</w:t>
      </w:r>
    </w:p>
    <w:p>
      <w:pPr>
        <w:keepNext w:val="false"/>
        <w:spacing w:after="170" w:line="276"/>
        <w:jc w:val="center"/>
      </w:pPr>
      <w:r>
        <w:rPr>
          <w:b w:val="false"/>
          <w:bCs w:val="false"/>
          <w:i w:val="false"/>
          <w:iCs w:val="false"/>
          <w:color w:val="626D78"/>
          <w:sz w:val="18"/>
          <w:szCs w:val="18"/>
        </w:rPr>
        <w:t xml:space="preserve">Prepared 1 August 2026</w:t>
      </w:r>
    </w:p>
    <w:tbl>
      <w:tblPr>
        <w:tblW w:type="dxa" w:w="9000"/>
        <w:tblBorders>
          <w:top w:val="none"/>
          <w:left w:val="none"/>
          <w:bottom w:val="none"/>
          <w:right w:val="none"/>
          <w:insideH w:val="none"/>
          <w:insideV w:val="none"/>
        </w:tblBorders>
      </w:tblPr>
      <w:tblGrid>
        <w:gridCol w:w="4500"/>
        <w:gridCol w:w="4500"/>
      </w:tblGrid>
      <w:tr>
        <w:tc>
          <w:tcPr>
            <w:tcW w:type="dxa" w:w="4500"/>
          </w:tcPr>
          <w:p>
            <w:pPr>
              <w:spacing w:after="55"/>
              <w:jc w:val="center"/>
            </w:pPr>
            <w:r>
              <w:drawing>
                <wp:inline distT="0" distB="0" distL="0" distR="0">
                  <wp:extent cx="2714625" cy="2085975"/>
                  <wp:effectExtent t="0" r="0" b="0" l="0"/>
                  <wp:docPr id="1" name="Planar molecular groups" descr="Planar molecular groups" title="Planar molecular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14625" cy="2085975"/>
                          </a:xfrm>
                          <a:prstGeom prst="rect">
                            <a:avLst/>
                          </a:prstGeom>
                        </pic:spPr>
                      </pic:pic>
                    </a:graphicData>
                  </a:graphic>
                </wp:inline>
              </w:drawing>
            </w:r>
          </w:p>
          <w:p>
            <w:pPr>
              <w:keepNext w:val="false"/>
              <w:spacing w:after="105" w:line="276"/>
              <w:jc w:val="center"/>
            </w:pPr>
            <w:r>
              <w:rPr>
                <w:b/>
                <w:bCs/>
                <w:i w:val="false"/>
                <w:iCs w:val="false"/>
                <w:sz w:val="17"/>
                <w:szCs w:val="17"/>
              </w:rPr>
              <w:t xml:space="preserve">Planar: ZnC44H28N4</w:t>
            </w:r>
          </w:p>
        </w:tc>
        <w:tc>
          <w:tcPr>
            <w:tcW w:type="dxa" w:w="4500"/>
          </w:tcPr>
          <w:p>
            <w:pPr>
              <w:spacing w:after="55"/>
              <w:jc w:val="center"/>
            </w:pPr>
            <w:r>
              <w:drawing>
                <wp:inline distT="0" distB="0" distL="0" distR="0">
                  <wp:extent cx="2714625" cy="2171700"/>
                  <wp:effectExtent t="0" r="0" b="0" l="0"/>
                  <wp:docPr id="1" name="PLDC molecular groups" descr="PLDC molecular groups" title="PLDC molecular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14625" cy="2171700"/>
                          </a:xfrm>
                          <a:prstGeom prst="rect">
                            <a:avLst/>
                          </a:prstGeom>
                        </pic:spPr>
                      </pic:pic>
                    </a:graphicData>
                  </a:graphic>
                </wp:inline>
              </w:drawing>
            </w:r>
          </w:p>
          <w:p>
            <w:pPr>
              <w:keepNext w:val="false"/>
              <w:spacing w:after="105" w:line="276"/>
              <w:jc w:val="center"/>
            </w:pPr>
            <w:r>
              <w:rPr>
                <w:b/>
                <w:bCs/>
                <w:i w:val="false"/>
                <w:iCs w:val="false"/>
                <w:sz w:val="17"/>
                <w:szCs w:val="17"/>
              </w:rPr>
              <w:t xml:space="preserve">PLDC–COOH: ZnC46H28N4O4</w:t>
            </w:r>
          </w:p>
        </w:tc>
      </w:tr>
    </w:tbl>
    <w:p>
      <w:pPr>
        <w:pStyle w:val="Heading1"/>
        <w:spacing w:after="75" w:before="190"/>
      </w:pPr>
      <w:r>
        <w:t xml:space="preserve">Executive summary</w:t>
      </w:r>
    </w:p>
    <w:p>
      <w:pPr>
        <w:keepNext w:val="false"/>
        <w:spacing w:after="105" w:line="276"/>
        <w:jc w:val="left"/>
      </w:pPr>
      <w:r>
        <w:rPr>
          <w:b w:val="false"/>
          <w:bCs w:val="false"/>
          <w:i w:val="false"/>
          <w:iCs w:val="false"/>
          <w:sz w:val="20"/>
          <w:szCs w:val="20"/>
        </w:rPr>
        <w:t xml:space="preserve">This report documents initial-state C 1s core-level shifts for a 77-atom Planar Zn-porphyrin and an 83-atom protonated PLDC derivative. The PLDC model contains two added carboxyl groups and two constructed O–H bonds. All 44 carbon atoms in Planar and all 46 carbon atoms in PLDC–COOH were evaluated.</w:t>
      </w:r>
    </w:p>
    <w:p>
      <w:pPr>
        <w:keepNext w:val="false"/>
        <w:spacing w:after="105" w:line="276"/>
        <w:jc w:val="left"/>
      </w:pPr>
      <w:r>
        <w:rPr>
          <w:b w:val="false"/>
          <w:bCs w:val="false"/>
          <w:i w:val="false"/>
          <w:iCs w:val="false"/>
          <w:sz w:val="20"/>
          <w:szCs w:val="20"/>
        </w:rPr>
        <w:t xml:space="preserve">The Planar SCF converged in 32 iterations and 15 min 05 s. PLDC–COOH converged in 40 iterations and 1 h 38 min. The same PBE functional, 25 Å cell, 30/180 Ry cutoffs, Γ-point sampling, molecular isolation correction, smearing, and convergence threshold were used to make the relative comparison controlled.</w:t>
      </w:r>
    </w:p>
    <w:p>
      <w:pPr>
        <w:keepNext w:val="false"/>
        <w:spacing w:after="105" w:line="276"/>
        <w:jc w:val="left"/>
      </w:pPr>
      <w:r>
        <w:rPr>
          <w:b w:val="false"/>
          <w:bCs w:val="false"/>
          <w:i w:val="false"/>
          <w:iCs w:val="false"/>
          <w:sz w:val="20"/>
          <w:szCs w:val="20"/>
        </w:rPr>
        <w:t xml:space="preserve">The largest separate feature belongs to the two PLDC carboxyl carbons, C_COOH, with mean shift −3.678 eV under the Quantum ESPRESSO convention ΔE = IS(reference) − IS(site).</w:t>
      </w:r>
    </w:p>
    <w:p>
      <w:r>
        <w:br w:type="page"/>
      </w:r>
    </w:p>
    <w:p>
      <w:pPr>
        <w:pStyle w:val="Heading1"/>
        <w:spacing w:after="75" w:before="190"/>
      </w:pPr>
      <w:r>
        <w:t xml:space="preserve">1. Planar structure and named carbon groups</w:t>
      </w:r>
    </w:p>
    <w:p>
      <w:pPr>
        <w:spacing w:after="55"/>
        <w:jc w:val="center"/>
      </w:pPr>
      <w:r>
        <w:drawing>
          <wp:inline distT="0" distB="0" distL="0" distR="0">
            <wp:extent cx="6191250" cy="4762500"/>
            <wp:effectExtent t="0" r="0" b="0" l="0"/>
            <wp:docPr id="1" name="Planar molecule with named carbon groups and indices" descr="Planar molecule with named carbon groups and indices" title="Planar molecule with named carbon groups and ind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762500"/>
                    </a:xfrm>
                    <a:prstGeom prst="rect">
                      <a:avLst/>
                    </a:prstGeom>
                  </pic:spPr>
                </pic:pic>
              </a:graphicData>
            </a:graphic>
          </wp:inline>
        </w:drawing>
      </w:r>
    </w:p>
    <w:p>
      <w:pPr>
        <w:spacing w:after="110" w:before="40"/>
        <w:jc w:val="center"/>
      </w:pPr>
      <w:r>
        <w:rPr>
          <w:i/>
          <w:iCs/>
          <w:color w:val="626D78"/>
          <w:sz w:val="17"/>
          <w:szCs w:val="17"/>
        </w:rPr>
        <w:t xml:space="preserve">Figure 1. Planar molecule. Carbon color identifies the assigned group; the number inside each carbon is its one-based XYZ atom index.</w:t>
      </w:r>
    </w:p>
    <w:p>
      <w:pPr>
        <w:keepNext w:val="false"/>
        <w:spacing w:after="105" w:line="276"/>
        <w:jc w:val="left"/>
      </w:pPr>
      <w:r>
        <w:rPr>
          <w:b w:val="false"/>
          <w:bCs w:val="false"/>
          <w:i w:val="false"/>
          <w:iCs w:val="false"/>
          <w:sz w:val="20"/>
          <w:szCs w:val="20"/>
        </w:rPr>
        <w:t xml:space="preserve">The Planar structure contains 44 carbon atoms divided into seven user-defined groups. Nitrogen atoms N46–N49 and Zn1 are shown for orientation but are not included in the all-carbon comparison plotted in this report.</w:t>
      </w:r>
    </w:p>
    <w:p>
      <w:r>
        <w:br w:type="page"/>
      </w:r>
    </w:p>
    <w:p>
      <w:pPr>
        <w:pStyle w:val="Heading1"/>
        <w:spacing w:after="75" w:before="190"/>
      </w:pPr>
      <w:r>
        <w:t xml:space="preserve">2. Protonated PLDC structure and named carbon groups</w:t>
      </w:r>
    </w:p>
    <w:p>
      <w:pPr>
        <w:spacing w:after="55"/>
        <w:jc w:val="center"/>
      </w:pPr>
      <w:r>
        <w:drawing>
          <wp:inline distT="0" distB="0" distL="0" distR="0">
            <wp:extent cx="6191250" cy="4953000"/>
            <wp:effectExtent t="0" r="0" b="0" l="0"/>
            <wp:docPr id="1" name="Protonated PLDC molecule with named carbon groups and indices" descr="Protonated PLDC molecule with named carbon groups and indices" title="Protonated PLDC molecule with named carbon groups and ind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953000"/>
                    </a:xfrm>
                    <a:prstGeom prst="rect">
                      <a:avLst/>
                    </a:prstGeom>
                  </pic:spPr>
                </pic:pic>
              </a:graphicData>
            </a:graphic>
          </wp:inline>
        </w:drawing>
      </w:r>
    </w:p>
    <w:p>
      <w:pPr>
        <w:spacing w:after="110" w:before="40"/>
        <w:jc w:val="center"/>
      </w:pPr>
      <w:r>
        <w:rPr>
          <w:i/>
          <w:iCs/>
          <w:color w:val="626D78"/>
          <w:sz w:val="17"/>
          <w:szCs w:val="17"/>
        </w:rPr>
        <w:t xml:space="preserve">Figure 2. Protonated PLDC–COOH molecule. The common Planar group numbering is retained; C76 and C79 are the added carboxyl carbon atoms.</w:t>
      </w:r>
    </w:p>
    <w:p>
      <w:pPr>
        <w:keepNext w:val="false"/>
        <w:spacing w:after="105" w:line="276"/>
        <w:jc w:val="left"/>
      </w:pPr>
      <w:r>
        <w:rPr>
          <w:b w:val="false"/>
          <w:bCs w:val="false"/>
          <w:i w:val="false"/>
          <w:iCs w:val="false"/>
          <w:sz w:val="20"/>
          <w:szCs w:val="20"/>
        </w:rPr>
        <w:t xml:space="preserve">The supplied PLDC geometry originally contained four oxygen atoms but no acidic hydrogen atoms. One hydrogen was added to the longer C–O bond in each carboxyl group: H82–O78 and H83–O80, both with O–H = 0.98 Å. This produces a neutral ZnC46H28N4O4 single-point model. The new proton positions were not geometry-optimized.</w:t>
      </w:r>
    </w:p>
    <w:p>
      <w:r>
        <w:br w:type="page"/>
      </w:r>
    </w:p>
    <w:p>
      <w:pPr>
        <w:pStyle w:val="Heading1"/>
        <w:spacing w:after="75" w:before="190"/>
      </w:pPr>
      <w:r>
        <w:t xml:space="preserve">3. Carbon-group definitions</w:t>
      </w:r>
    </w:p>
    <w:p>
      <w:pPr>
        <w:keepNext w:val="false"/>
        <w:spacing w:after="105" w:line="276"/>
        <w:jc w:val="left"/>
      </w:pPr>
      <w:r>
        <w:rPr>
          <w:b w:val="false"/>
          <w:bCs w:val="false"/>
          <w:i w:val="false"/>
          <w:iCs w:val="false"/>
          <w:sz w:val="20"/>
          <w:szCs w:val="20"/>
        </w:rPr>
        <w:t xml:space="preserve">The following assignments were applied identically to both structures wherever the corresponding atom exists. C_COOH occurs only in PLDC–COOH.</w:t>
      </w:r>
    </w:p>
    <w:tbl>
      <w:tblPr>
        <w:tblW w:type="dxa" w:w="9360"/>
        <w:tblBorders>
          <w:top w:val="single" w:color="B7C3D0" w:sz="4"/>
          <w:left w:val="single" w:color="B7C3D0" w:sz="4"/>
          <w:bottom w:val="single" w:color="B7C3D0" w:sz="4"/>
          <w:right w:val="single" w:color="B7C3D0" w:sz="4"/>
          <w:insideH w:val="single" w:color="D9E0E7" w:sz="3"/>
          <w:insideV w:val="single" w:color="D9E0E7" w:sz="3"/>
        </w:tblBorders>
      </w:tblPr>
      <w:tblGrid>
        <w:gridCol w:w="1250"/>
        <w:gridCol w:w="2650"/>
        <w:gridCol w:w="2450"/>
        <w:gridCol w:w="3010"/>
      </w:tblGrid>
      <w:tr>
        <w:trPr>
          <w:tblHeader/>
        </w:trPr>
        <w:tc>
          <w:tcPr>
            <w:tcW w:type="dxa" w:w="1250"/>
            <w:shd w:fill="17365D" w:val="clear"/>
            <w:tcMar>
              <w:top w:type="dxa" w:w="62"/>
              <w:left w:type="dxa" w:w="68"/>
              <w:bottom w:type="dxa" w:w="62"/>
              <w:right w:type="dxa" w:w="68"/>
            </w:tcMar>
            <w:vAlign w:val="center"/>
          </w:tcPr>
          <w:p>
            <w:pPr>
              <w:spacing w:after="0"/>
              <w:jc w:val="left"/>
            </w:pPr>
            <w:r>
              <w:rPr>
                <w:b/>
                <w:bCs/>
                <w:color w:val="FFFFFF"/>
                <w:sz w:val="17"/>
                <w:szCs w:val="17"/>
              </w:rPr>
              <w:t xml:space="preserve">Group</w:t>
            </w:r>
          </w:p>
        </w:tc>
        <w:tc>
          <w:tcPr>
            <w:tcW w:type="dxa" w:w="2650"/>
            <w:shd w:fill="17365D" w:val="clear"/>
            <w:tcMar>
              <w:top w:type="dxa" w:w="62"/>
              <w:left w:type="dxa" w:w="68"/>
              <w:bottom w:type="dxa" w:w="62"/>
              <w:right w:type="dxa" w:w="68"/>
            </w:tcMar>
            <w:vAlign w:val="center"/>
          </w:tcPr>
          <w:p>
            <w:pPr>
              <w:spacing w:after="0"/>
              <w:jc w:val="left"/>
            </w:pPr>
            <w:r>
              <w:rPr>
                <w:b/>
                <w:bCs/>
                <w:color w:val="FFFFFF"/>
                <w:sz w:val="17"/>
                <w:szCs w:val="17"/>
              </w:rPr>
              <w:t xml:space="preserve">Meaning</w:t>
            </w:r>
          </w:p>
        </w:tc>
        <w:tc>
          <w:tcPr>
            <w:tcW w:type="dxa" w:w="2450"/>
            <w:shd w:fill="17365D" w:val="clear"/>
            <w:tcMar>
              <w:top w:type="dxa" w:w="62"/>
              <w:left w:type="dxa" w:w="68"/>
              <w:bottom w:type="dxa" w:w="62"/>
              <w:right w:type="dxa" w:w="68"/>
            </w:tcMar>
            <w:vAlign w:val="center"/>
          </w:tcPr>
          <w:p>
            <w:pPr>
              <w:spacing w:after="0"/>
              <w:jc w:val="left"/>
            </w:pPr>
            <w:r>
              <w:rPr>
                <w:b/>
                <w:bCs/>
                <w:color w:val="FFFFFF"/>
                <w:sz w:val="17"/>
                <w:szCs w:val="17"/>
              </w:rPr>
              <w:t xml:space="preserve">Planar indices</w:t>
            </w:r>
          </w:p>
        </w:tc>
        <w:tc>
          <w:tcPr>
            <w:tcW w:type="dxa" w:w="3010"/>
            <w:shd w:fill="17365D" w:val="clear"/>
            <w:tcMar>
              <w:top w:type="dxa" w:w="62"/>
              <w:left w:type="dxa" w:w="68"/>
              <w:bottom w:type="dxa" w:w="62"/>
              <w:right w:type="dxa" w:w="68"/>
            </w:tcMar>
            <w:vAlign w:val="center"/>
          </w:tcPr>
          <w:p>
            <w:pPr>
              <w:spacing w:after="0"/>
              <w:jc w:val="left"/>
            </w:pPr>
            <w:r>
              <w:rPr>
                <w:b/>
                <w:bCs/>
                <w:color w:val="FFFFFF"/>
                <w:sz w:val="17"/>
                <w:szCs w:val="17"/>
              </w:rPr>
              <w:t xml:space="preserve">PLDC–COOH indices</w:t>
            </w:r>
          </w:p>
        </w:tc>
      </w:tr>
      <w:tr>
        <w:tc>
          <w:tcPr>
            <w:tcW w:type="dxa" w:w="1250"/>
            <w:tcMar>
              <w:top w:type="dxa" w:w="62"/>
              <w:left w:type="dxa" w:w="68"/>
              <w:bottom w:type="dxa" w:w="62"/>
              <w:right w:type="dxa" w:w="68"/>
            </w:tcMar>
            <w:vAlign w:val="center"/>
          </w:tcPr>
          <w:p>
            <w:pPr>
              <w:spacing w:after="0"/>
              <w:jc w:val="left"/>
            </w:pPr>
            <w:r>
              <w:rPr>
                <w:b w:val="false"/>
                <w:bCs w:val="false"/>
                <w:color w:val="222222"/>
                <w:sz w:val="17"/>
                <w:szCs w:val="17"/>
              </w:rPr>
              <w:t xml:space="preserve">C_L,alpha</w:t>
            </w:r>
          </w:p>
        </w:tc>
        <w:tc>
          <w:tcPr>
            <w:tcW w:type="dxa" w:w="2650"/>
            <w:tcMar>
              <w:top w:type="dxa" w:w="62"/>
              <w:left w:type="dxa" w:w="68"/>
              <w:bottom w:type="dxa" w:w="62"/>
              <w:right w:type="dxa" w:w="68"/>
            </w:tcMar>
            <w:vAlign w:val="center"/>
          </w:tcPr>
          <w:p>
            <w:pPr>
              <w:spacing w:after="0"/>
              <w:jc w:val="left"/>
            </w:pPr>
            <w:r>
              <w:rPr>
                <w:b w:val="false"/>
                <w:bCs w:val="false"/>
                <w:color w:val="222222"/>
                <w:sz w:val="17"/>
                <w:szCs w:val="17"/>
              </w:rPr>
              <w:t xml:space="preserve">User-defined ligand alpha-carbon sites</w:t>
            </w:r>
          </w:p>
        </w:tc>
        <w:tc>
          <w:tcPr>
            <w:tcW w:type="dxa" w:w="2450"/>
            <w:tcMar>
              <w:top w:type="dxa" w:w="62"/>
              <w:left w:type="dxa" w:w="68"/>
              <w:bottom w:type="dxa" w:w="62"/>
              <w:right w:type="dxa" w:w="68"/>
            </w:tcMar>
            <w:vAlign w:val="center"/>
          </w:tcPr>
          <w:p>
            <w:pPr>
              <w:spacing w:after="0"/>
              <w:jc w:val="left"/>
            </w:pPr>
            <w:r>
              <w:rPr>
                <w:b w:val="false"/>
                <w:bCs w:val="false"/>
                <w:color w:val="222222"/>
                <w:sz w:val="17"/>
                <w:szCs w:val="17"/>
              </w:rPr>
              <w:t xml:space="preserve">4, 5, 42, 43</w:t>
            </w:r>
          </w:p>
        </w:tc>
        <w:tc>
          <w:tcPr>
            <w:tcW w:type="dxa" w:w="3010"/>
            <w:tcMar>
              <w:top w:type="dxa" w:w="62"/>
              <w:left w:type="dxa" w:w="68"/>
              <w:bottom w:type="dxa" w:w="62"/>
              <w:right w:type="dxa" w:w="68"/>
            </w:tcMar>
            <w:vAlign w:val="center"/>
          </w:tcPr>
          <w:p>
            <w:pPr>
              <w:spacing w:after="0"/>
              <w:jc w:val="left"/>
            </w:pPr>
            <w:r>
              <w:rPr>
                <w:b w:val="false"/>
                <w:bCs w:val="false"/>
                <w:color w:val="222222"/>
                <w:sz w:val="17"/>
                <w:szCs w:val="17"/>
              </w:rPr>
              <w:t xml:space="preserve">4, 5, 42, 43</w:t>
            </w:r>
          </w:p>
        </w:tc>
      </w:tr>
      <w:tr>
        <w:tc>
          <w:tcPr>
            <w:tcW w:type="dxa" w:w="1250"/>
            <w:tcMar>
              <w:top w:type="dxa" w:w="62"/>
              <w:left w:type="dxa" w:w="68"/>
              <w:bottom w:type="dxa" w:w="62"/>
              <w:right w:type="dxa" w:w="68"/>
            </w:tcMar>
            <w:vAlign w:val="center"/>
          </w:tcPr>
          <w:p>
            <w:pPr>
              <w:spacing w:after="0"/>
              <w:jc w:val="left"/>
            </w:pPr>
            <w:r>
              <w:rPr>
                <w:b w:val="false"/>
                <w:bCs w:val="false"/>
                <w:color w:val="222222"/>
                <w:sz w:val="17"/>
                <w:szCs w:val="17"/>
              </w:rPr>
              <w:t xml:space="preserve">C_alpha</w:t>
            </w:r>
          </w:p>
        </w:tc>
        <w:tc>
          <w:tcPr>
            <w:tcW w:type="dxa" w:w="2650"/>
            <w:tcMar>
              <w:top w:type="dxa" w:w="62"/>
              <w:left w:type="dxa" w:w="68"/>
              <w:bottom w:type="dxa" w:w="62"/>
              <w:right w:type="dxa" w:w="68"/>
            </w:tcMar>
            <w:vAlign w:val="center"/>
          </w:tcPr>
          <w:p>
            <w:pPr>
              <w:spacing w:after="0"/>
              <w:jc w:val="left"/>
            </w:pPr>
            <w:r>
              <w:rPr>
                <w:b w:val="false"/>
                <w:bCs w:val="false"/>
                <w:color w:val="222222"/>
                <w:sz w:val="17"/>
                <w:szCs w:val="17"/>
              </w:rPr>
              <w:t xml:space="preserve">User-defined porphyrin alpha-carbon sites</w:t>
            </w:r>
          </w:p>
        </w:tc>
        <w:tc>
          <w:tcPr>
            <w:tcW w:type="dxa" w:w="2450"/>
            <w:tcMar>
              <w:top w:type="dxa" w:w="62"/>
              <w:left w:type="dxa" w:w="68"/>
              <w:bottom w:type="dxa" w:w="62"/>
              <w:right w:type="dxa" w:w="68"/>
            </w:tcMar>
            <w:vAlign w:val="center"/>
          </w:tcPr>
          <w:p>
            <w:pPr>
              <w:spacing w:after="0"/>
              <w:jc w:val="left"/>
            </w:pPr>
            <w:r>
              <w:rPr>
                <w:b w:val="false"/>
                <w:bCs w:val="false"/>
                <w:color w:val="222222"/>
                <w:sz w:val="17"/>
                <w:szCs w:val="17"/>
              </w:rPr>
              <w:t xml:space="preserve">20, 21, 26, 27</w:t>
            </w:r>
          </w:p>
        </w:tc>
        <w:tc>
          <w:tcPr>
            <w:tcW w:type="dxa" w:w="3010"/>
            <w:tcMar>
              <w:top w:type="dxa" w:w="62"/>
              <w:left w:type="dxa" w:w="68"/>
              <w:bottom w:type="dxa" w:w="62"/>
              <w:right w:type="dxa" w:w="68"/>
            </w:tcMar>
            <w:vAlign w:val="center"/>
          </w:tcPr>
          <w:p>
            <w:pPr>
              <w:spacing w:after="0"/>
              <w:jc w:val="left"/>
            </w:pPr>
            <w:r>
              <w:rPr>
                <w:b w:val="false"/>
                <w:bCs w:val="false"/>
                <w:color w:val="222222"/>
                <w:sz w:val="17"/>
                <w:szCs w:val="17"/>
              </w:rPr>
              <w:t xml:space="preserve">20, 21, 26, 27</w:t>
            </w:r>
          </w:p>
        </w:tc>
      </w:tr>
      <w:tr>
        <w:tc>
          <w:tcPr>
            <w:tcW w:type="dxa" w:w="1250"/>
            <w:tcMar>
              <w:top w:type="dxa" w:w="62"/>
              <w:left w:type="dxa" w:w="68"/>
              <w:bottom w:type="dxa" w:w="62"/>
              <w:right w:type="dxa" w:w="68"/>
            </w:tcMar>
            <w:vAlign w:val="center"/>
          </w:tcPr>
          <w:p>
            <w:pPr>
              <w:spacing w:after="0"/>
              <w:jc w:val="left"/>
            </w:pPr>
            <w:r>
              <w:rPr>
                <w:b w:val="false"/>
                <w:bCs w:val="false"/>
                <w:color w:val="222222"/>
                <w:sz w:val="17"/>
                <w:szCs w:val="17"/>
              </w:rPr>
              <w:t xml:space="preserve">C_M</w:t>
            </w:r>
          </w:p>
        </w:tc>
        <w:tc>
          <w:tcPr>
            <w:tcW w:type="dxa" w:w="2650"/>
            <w:tcMar>
              <w:top w:type="dxa" w:w="62"/>
              <w:left w:type="dxa" w:w="68"/>
              <w:bottom w:type="dxa" w:w="62"/>
              <w:right w:type="dxa" w:w="68"/>
            </w:tcMar>
            <w:vAlign w:val="center"/>
          </w:tcPr>
          <w:p>
            <w:pPr>
              <w:spacing w:after="0"/>
              <w:jc w:val="left"/>
            </w:pPr>
            <w:r>
              <w:rPr>
                <w:b w:val="false"/>
                <w:bCs w:val="false"/>
                <w:color w:val="222222"/>
                <w:sz w:val="17"/>
                <w:szCs w:val="17"/>
              </w:rPr>
              <w:t xml:space="preserve">Meso bridge carbon sites</w:t>
            </w:r>
          </w:p>
        </w:tc>
        <w:tc>
          <w:tcPr>
            <w:tcW w:type="dxa" w:w="2450"/>
            <w:tcMar>
              <w:top w:type="dxa" w:w="62"/>
              <w:left w:type="dxa" w:w="68"/>
              <w:bottom w:type="dxa" w:w="62"/>
              <w:right w:type="dxa" w:w="68"/>
            </w:tcMar>
            <w:vAlign w:val="center"/>
          </w:tcPr>
          <w:p>
            <w:pPr>
              <w:spacing w:after="0"/>
              <w:jc w:val="left"/>
            </w:pPr>
            <w:r>
              <w:rPr>
                <w:b w:val="false"/>
                <w:bCs w:val="false"/>
                <w:color w:val="222222"/>
                <w:sz w:val="17"/>
                <w:szCs w:val="17"/>
              </w:rPr>
              <w:t xml:space="preserve">6, 13, 28, 35</w:t>
            </w:r>
          </w:p>
        </w:tc>
        <w:tc>
          <w:tcPr>
            <w:tcW w:type="dxa" w:w="3010"/>
            <w:tcMar>
              <w:top w:type="dxa" w:w="62"/>
              <w:left w:type="dxa" w:w="68"/>
              <w:bottom w:type="dxa" w:w="62"/>
              <w:right w:type="dxa" w:w="68"/>
            </w:tcMar>
            <w:vAlign w:val="center"/>
          </w:tcPr>
          <w:p>
            <w:pPr>
              <w:spacing w:after="0"/>
              <w:jc w:val="left"/>
            </w:pPr>
            <w:r>
              <w:rPr>
                <w:b w:val="false"/>
                <w:bCs w:val="false"/>
                <w:color w:val="222222"/>
                <w:sz w:val="17"/>
                <w:szCs w:val="17"/>
              </w:rPr>
              <w:t xml:space="preserve">6, 13, 28, 35</w:t>
            </w:r>
          </w:p>
        </w:tc>
      </w:tr>
      <w:tr>
        <w:tc>
          <w:tcPr>
            <w:tcW w:type="dxa" w:w="1250"/>
            <w:tcMar>
              <w:top w:type="dxa" w:w="62"/>
              <w:left w:type="dxa" w:w="68"/>
              <w:bottom w:type="dxa" w:w="62"/>
              <w:right w:type="dxa" w:w="68"/>
            </w:tcMar>
            <w:vAlign w:val="center"/>
          </w:tcPr>
          <w:p>
            <w:pPr>
              <w:spacing w:after="0"/>
              <w:jc w:val="left"/>
            </w:pPr>
            <w:r>
              <w:rPr>
                <w:b w:val="false"/>
                <w:bCs w:val="false"/>
                <w:color w:val="222222"/>
                <w:sz w:val="17"/>
                <w:szCs w:val="17"/>
              </w:rPr>
              <w:t xml:space="preserve">C_L,beta</w:t>
            </w:r>
          </w:p>
        </w:tc>
        <w:tc>
          <w:tcPr>
            <w:tcW w:type="dxa" w:w="2650"/>
            <w:tcMar>
              <w:top w:type="dxa" w:w="62"/>
              <w:left w:type="dxa" w:w="68"/>
              <w:bottom w:type="dxa" w:w="62"/>
              <w:right w:type="dxa" w:w="68"/>
            </w:tcMar>
            <w:vAlign w:val="center"/>
          </w:tcPr>
          <w:p>
            <w:pPr>
              <w:spacing w:after="0"/>
              <w:jc w:val="left"/>
            </w:pPr>
            <w:r>
              <w:rPr>
                <w:b w:val="false"/>
                <w:bCs w:val="false"/>
                <w:color w:val="222222"/>
                <w:sz w:val="17"/>
                <w:szCs w:val="17"/>
              </w:rPr>
              <w:t xml:space="preserve">User-defined ligand beta-carbon sites</w:t>
            </w:r>
          </w:p>
        </w:tc>
        <w:tc>
          <w:tcPr>
            <w:tcW w:type="dxa" w:w="2450"/>
            <w:tcMar>
              <w:top w:type="dxa" w:w="62"/>
              <w:left w:type="dxa" w:w="68"/>
              <w:bottom w:type="dxa" w:w="62"/>
              <w:right w:type="dxa" w:w="68"/>
            </w:tcMar>
            <w:vAlign w:val="center"/>
          </w:tcPr>
          <w:p>
            <w:pPr>
              <w:spacing w:after="0"/>
              <w:jc w:val="left"/>
            </w:pPr>
            <w:r>
              <w:rPr>
                <w:b w:val="false"/>
                <w:bCs w:val="false"/>
                <w:color w:val="222222"/>
                <w:sz w:val="17"/>
                <w:szCs w:val="17"/>
              </w:rPr>
              <w:t xml:space="preserve">2, 3, 44, 45</w:t>
            </w:r>
          </w:p>
        </w:tc>
        <w:tc>
          <w:tcPr>
            <w:tcW w:type="dxa" w:w="3010"/>
            <w:tcMar>
              <w:top w:type="dxa" w:w="62"/>
              <w:left w:type="dxa" w:w="68"/>
              <w:bottom w:type="dxa" w:w="62"/>
              <w:right w:type="dxa" w:w="68"/>
            </w:tcMar>
            <w:vAlign w:val="center"/>
          </w:tcPr>
          <w:p>
            <w:pPr>
              <w:spacing w:after="0"/>
              <w:jc w:val="left"/>
            </w:pPr>
            <w:r>
              <w:rPr>
                <w:b w:val="false"/>
                <w:bCs w:val="false"/>
                <w:color w:val="222222"/>
                <w:sz w:val="17"/>
                <w:szCs w:val="17"/>
              </w:rPr>
              <w:t xml:space="preserve">2, 3, 44, 45</w:t>
            </w:r>
          </w:p>
        </w:tc>
      </w:tr>
      <w:tr>
        <w:tc>
          <w:tcPr>
            <w:tcW w:type="dxa" w:w="1250"/>
            <w:tcMar>
              <w:top w:type="dxa" w:w="62"/>
              <w:left w:type="dxa" w:w="68"/>
              <w:bottom w:type="dxa" w:w="62"/>
              <w:right w:type="dxa" w:w="68"/>
            </w:tcMar>
            <w:vAlign w:val="center"/>
          </w:tcPr>
          <w:p>
            <w:pPr>
              <w:spacing w:after="0"/>
              <w:jc w:val="left"/>
            </w:pPr>
            <w:r>
              <w:rPr>
                <w:b w:val="false"/>
                <w:bCs w:val="false"/>
                <w:color w:val="222222"/>
                <w:sz w:val="17"/>
                <w:szCs w:val="17"/>
              </w:rPr>
              <w:t xml:space="preserve">C_beta</w:t>
            </w:r>
          </w:p>
        </w:tc>
        <w:tc>
          <w:tcPr>
            <w:tcW w:type="dxa" w:w="2650"/>
            <w:tcMar>
              <w:top w:type="dxa" w:w="62"/>
              <w:left w:type="dxa" w:w="68"/>
              <w:bottom w:type="dxa" w:w="62"/>
              <w:right w:type="dxa" w:w="68"/>
            </w:tcMar>
            <w:vAlign w:val="center"/>
          </w:tcPr>
          <w:p>
            <w:pPr>
              <w:spacing w:after="0"/>
              <w:jc w:val="left"/>
            </w:pPr>
            <w:r>
              <w:rPr>
                <w:b w:val="false"/>
                <w:bCs w:val="false"/>
                <w:color w:val="222222"/>
                <w:sz w:val="17"/>
                <w:szCs w:val="17"/>
              </w:rPr>
              <w:t xml:space="preserve">User-defined porphyrin beta-carbon sites</w:t>
            </w:r>
          </w:p>
        </w:tc>
        <w:tc>
          <w:tcPr>
            <w:tcW w:type="dxa" w:w="2450"/>
            <w:tcMar>
              <w:top w:type="dxa" w:w="62"/>
              <w:left w:type="dxa" w:w="68"/>
              <w:bottom w:type="dxa" w:w="62"/>
              <w:right w:type="dxa" w:w="68"/>
            </w:tcMar>
            <w:vAlign w:val="center"/>
          </w:tcPr>
          <w:p>
            <w:pPr>
              <w:spacing w:after="0"/>
              <w:jc w:val="left"/>
            </w:pPr>
            <w:r>
              <w:rPr>
                <w:b w:val="false"/>
                <w:bCs w:val="false"/>
                <w:color w:val="222222"/>
                <w:sz w:val="17"/>
                <w:szCs w:val="17"/>
              </w:rPr>
              <w:t xml:space="preserve">22, 23, 24, 25</w:t>
            </w:r>
          </w:p>
        </w:tc>
        <w:tc>
          <w:tcPr>
            <w:tcW w:type="dxa" w:w="3010"/>
            <w:tcMar>
              <w:top w:type="dxa" w:w="62"/>
              <w:left w:type="dxa" w:w="68"/>
              <w:bottom w:type="dxa" w:w="62"/>
              <w:right w:type="dxa" w:w="68"/>
            </w:tcMar>
            <w:vAlign w:val="center"/>
          </w:tcPr>
          <w:p>
            <w:pPr>
              <w:spacing w:after="0"/>
              <w:jc w:val="left"/>
            </w:pPr>
            <w:r>
              <w:rPr>
                <w:b w:val="false"/>
                <w:bCs w:val="false"/>
                <w:color w:val="222222"/>
                <w:sz w:val="17"/>
                <w:szCs w:val="17"/>
              </w:rPr>
              <w:t xml:space="preserve">22, 23, 24, 25</w:t>
            </w:r>
          </w:p>
        </w:tc>
      </w:tr>
      <w:tr>
        <w:tc>
          <w:tcPr>
            <w:tcW w:type="dxa" w:w="1250"/>
            <w:tcMar>
              <w:top w:type="dxa" w:w="62"/>
              <w:left w:type="dxa" w:w="68"/>
              <w:bottom w:type="dxa" w:w="62"/>
              <w:right w:type="dxa" w:w="68"/>
            </w:tcMar>
            <w:vAlign w:val="center"/>
          </w:tcPr>
          <w:p>
            <w:pPr>
              <w:spacing w:after="0"/>
              <w:jc w:val="left"/>
            </w:pPr>
            <w:r>
              <w:rPr>
                <w:b w:val="false"/>
                <w:bCs w:val="false"/>
                <w:color w:val="222222"/>
                <w:sz w:val="17"/>
                <w:szCs w:val="17"/>
              </w:rPr>
              <w:t xml:space="preserve">C_b</w:t>
            </w:r>
          </w:p>
        </w:tc>
        <w:tc>
          <w:tcPr>
            <w:tcW w:type="dxa" w:w="2650"/>
            <w:tcMar>
              <w:top w:type="dxa" w:w="62"/>
              <w:left w:type="dxa" w:w="68"/>
              <w:bottom w:type="dxa" w:w="62"/>
              <w:right w:type="dxa" w:w="68"/>
            </w:tcMar>
            <w:vAlign w:val="center"/>
          </w:tcPr>
          <w:p>
            <w:pPr>
              <w:spacing w:after="0"/>
              <w:jc w:val="left"/>
            </w:pPr>
            <w:r>
              <w:rPr>
                <w:b w:val="false"/>
                <w:bCs w:val="false"/>
                <w:color w:val="222222"/>
                <w:sz w:val="17"/>
                <w:szCs w:val="17"/>
              </w:rPr>
              <w:t xml:space="preserve">Benzene/phenyl carbon subset C_b</w:t>
            </w:r>
          </w:p>
        </w:tc>
        <w:tc>
          <w:tcPr>
            <w:tcW w:type="dxa" w:w="2450"/>
            <w:tcMar>
              <w:top w:type="dxa" w:w="62"/>
              <w:left w:type="dxa" w:w="68"/>
              <w:bottom w:type="dxa" w:w="62"/>
              <w:right w:type="dxa" w:w="68"/>
            </w:tcMar>
            <w:vAlign w:val="center"/>
          </w:tcPr>
          <w:p>
            <w:pPr>
              <w:spacing w:after="0"/>
              <w:jc w:val="left"/>
            </w:pPr>
            <w:r>
              <w:rPr>
                <w:b w:val="false"/>
                <w:bCs w:val="false"/>
                <w:color w:val="222222"/>
                <w:sz w:val="17"/>
                <w:szCs w:val="17"/>
              </w:rPr>
              <w:t xml:space="preserve">14–19, 29–34</w:t>
            </w:r>
          </w:p>
        </w:tc>
        <w:tc>
          <w:tcPr>
            <w:tcW w:type="dxa" w:w="3010"/>
            <w:tcMar>
              <w:top w:type="dxa" w:w="62"/>
              <w:left w:type="dxa" w:w="68"/>
              <w:bottom w:type="dxa" w:w="62"/>
              <w:right w:type="dxa" w:w="68"/>
            </w:tcMar>
            <w:vAlign w:val="center"/>
          </w:tcPr>
          <w:p>
            <w:pPr>
              <w:spacing w:after="0"/>
              <w:jc w:val="left"/>
            </w:pPr>
            <w:r>
              <w:rPr>
                <w:b w:val="false"/>
                <w:bCs w:val="false"/>
                <w:color w:val="222222"/>
                <w:sz w:val="17"/>
                <w:szCs w:val="17"/>
              </w:rPr>
              <w:t xml:space="preserve">14–19, 29–34</w:t>
            </w:r>
          </w:p>
        </w:tc>
      </w:tr>
      <w:tr>
        <w:tc>
          <w:tcPr>
            <w:tcW w:type="dxa" w:w="1250"/>
            <w:tcMar>
              <w:top w:type="dxa" w:w="62"/>
              <w:left w:type="dxa" w:w="68"/>
              <w:bottom w:type="dxa" w:w="62"/>
              <w:right w:type="dxa" w:w="68"/>
            </w:tcMar>
            <w:vAlign w:val="center"/>
          </w:tcPr>
          <w:p>
            <w:pPr>
              <w:spacing w:after="0"/>
              <w:jc w:val="left"/>
            </w:pPr>
            <w:r>
              <w:rPr>
                <w:b w:val="false"/>
                <w:bCs w:val="false"/>
                <w:color w:val="222222"/>
                <w:sz w:val="17"/>
                <w:szCs w:val="17"/>
              </w:rPr>
              <w:t xml:space="preserve">C_w</w:t>
            </w:r>
          </w:p>
        </w:tc>
        <w:tc>
          <w:tcPr>
            <w:tcW w:type="dxa" w:w="2650"/>
            <w:tcMar>
              <w:top w:type="dxa" w:w="62"/>
              <w:left w:type="dxa" w:w="68"/>
              <w:bottom w:type="dxa" w:w="62"/>
              <w:right w:type="dxa" w:w="68"/>
            </w:tcMar>
            <w:vAlign w:val="center"/>
          </w:tcPr>
          <w:p>
            <w:pPr>
              <w:spacing w:after="0"/>
              <w:jc w:val="left"/>
            </w:pPr>
            <w:r>
              <w:rPr>
                <w:b w:val="false"/>
                <w:bCs w:val="false"/>
                <w:color w:val="222222"/>
                <w:sz w:val="17"/>
                <w:szCs w:val="17"/>
              </w:rPr>
              <w:t xml:space="preserve">Remaining phenyl carbon subset C_w</w:t>
            </w:r>
          </w:p>
        </w:tc>
        <w:tc>
          <w:tcPr>
            <w:tcW w:type="dxa" w:w="2450"/>
            <w:tcMar>
              <w:top w:type="dxa" w:w="62"/>
              <w:left w:type="dxa" w:w="68"/>
              <w:bottom w:type="dxa" w:w="62"/>
              <w:right w:type="dxa" w:w="68"/>
            </w:tcMar>
            <w:vAlign w:val="center"/>
          </w:tcPr>
          <w:p>
            <w:pPr>
              <w:spacing w:after="0"/>
              <w:jc w:val="left"/>
            </w:pPr>
            <w:r>
              <w:rPr>
                <w:b w:val="false"/>
                <w:bCs w:val="false"/>
                <w:color w:val="222222"/>
                <w:sz w:val="17"/>
                <w:szCs w:val="17"/>
              </w:rPr>
              <w:t xml:space="preserve">7–12, 36–41</w:t>
            </w:r>
          </w:p>
        </w:tc>
        <w:tc>
          <w:tcPr>
            <w:tcW w:type="dxa" w:w="3010"/>
            <w:tcMar>
              <w:top w:type="dxa" w:w="62"/>
              <w:left w:type="dxa" w:w="68"/>
              <w:bottom w:type="dxa" w:w="62"/>
              <w:right w:type="dxa" w:w="68"/>
            </w:tcMar>
            <w:vAlign w:val="center"/>
          </w:tcPr>
          <w:p>
            <w:pPr>
              <w:spacing w:after="0"/>
              <w:jc w:val="left"/>
            </w:pPr>
            <w:r>
              <w:rPr>
                <w:b w:val="false"/>
                <w:bCs w:val="false"/>
                <w:color w:val="222222"/>
                <w:sz w:val="17"/>
                <w:szCs w:val="17"/>
              </w:rPr>
              <w:t xml:space="preserve">7–12, 36–41</w:t>
            </w:r>
          </w:p>
        </w:tc>
      </w:tr>
      <w:tr>
        <w:tc>
          <w:tcPr>
            <w:tcW w:type="dxa" w:w="1250"/>
            <w:tcMar>
              <w:top w:type="dxa" w:w="62"/>
              <w:left w:type="dxa" w:w="68"/>
              <w:bottom w:type="dxa" w:w="62"/>
              <w:right w:type="dxa" w:w="68"/>
            </w:tcMar>
            <w:vAlign w:val="center"/>
          </w:tcPr>
          <w:p>
            <w:pPr>
              <w:spacing w:after="0"/>
              <w:jc w:val="left"/>
            </w:pPr>
            <w:r>
              <w:rPr>
                <w:b w:val="false"/>
                <w:bCs w:val="false"/>
                <w:color w:val="222222"/>
                <w:sz w:val="17"/>
                <w:szCs w:val="17"/>
              </w:rPr>
              <w:t xml:space="preserve">C_COOH</w:t>
            </w:r>
          </w:p>
        </w:tc>
        <w:tc>
          <w:tcPr>
            <w:tcW w:type="dxa" w:w="2650"/>
            <w:tcMar>
              <w:top w:type="dxa" w:w="62"/>
              <w:left w:type="dxa" w:w="68"/>
              <w:bottom w:type="dxa" w:w="62"/>
              <w:right w:type="dxa" w:w="68"/>
            </w:tcMar>
            <w:vAlign w:val="center"/>
          </w:tcPr>
          <w:p>
            <w:pPr>
              <w:spacing w:after="0"/>
              <w:jc w:val="left"/>
            </w:pPr>
            <w:r>
              <w:rPr>
                <w:b w:val="false"/>
                <w:bCs w:val="false"/>
                <w:color w:val="222222"/>
                <w:sz w:val="17"/>
                <w:szCs w:val="17"/>
              </w:rPr>
              <w:t xml:space="preserve">Added carboxyl carbon atoms in PLDC–COOH</w:t>
            </w:r>
          </w:p>
        </w:tc>
        <w:tc>
          <w:tcPr>
            <w:tcW w:type="dxa" w:w="2450"/>
            <w:tcMar>
              <w:top w:type="dxa" w:w="62"/>
              <w:left w:type="dxa" w:w="68"/>
              <w:bottom w:type="dxa" w:w="62"/>
              <w:right w:type="dxa" w:w="68"/>
            </w:tcMar>
            <w:vAlign w:val="center"/>
          </w:tcPr>
          <w:p>
            <w:pPr>
              <w:spacing w:after="0"/>
              <w:jc w:val="left"/>
            </w:pPr>
            <w:r>
              <w:rPr>
                <w:b w:val="false"/>
                <w:bCs w:val="false"/>
                <w:color w:val="222222"/>
                <w:sz w:val="17"/>
                <w:szCs w:val="17"/>
              </w:rPr>
              <w:t xml:space="preserve">—</w:t>
            </w:r>
          </w:p>
        </w:tc>
        <w:tc>
          <w:tcPr>
            <w:tcW w:type="dxa" w:w="3010"/>
            <w:tcMar>
              <w:top w:type="dxa" w:w="62"/>
              <w:left w:type="dxa" w:w="68"/>
              <w:bottom w:type="dxa" w:w="62"/>
              <w:right w:type="dxa" w:w="68"/>
            </w:tcMar>
            <w:vAlign w:val="center"/>
          </w:tcPr>
          <w:p>
            <w:pPr>
              <w:spacing w:after="0"/>
              <w:jc w:val="left"/>
            </w:pPr>
            <w:r>
              <w:rPr>
                <w:b w:val="false"/>
                <w:bCs w:val="false"/>
                <w:color w:val="222222"/>
                <w:sz w:val="17"/>
                <w:szCs w:val="17"/>
              </w:rPr>
              <w:t xml:space="preserve">76, 79</w:t>
            </w:r>
          </w:p>
        </w:tc>
      </w:tr>
    </w:tbl>
    <w:p>
      <w:pPr>
        <w:pStyle w:val="Heading2"/>
        <w:spacing w:after="75" w:before="135"/>
      </w:pPr>
      <w:r>
        <w:t xml:space="preserve">Why the same indexing can be used</w:t>
      </w:r>
    </w:p>
    <w:p>
      <w:pPr>
        <w:keepNext w:val="false"/>
        <w:spacing w:after="105" w:line="276"/>
        <w:jc w:val="left"/>
      </w:pPr>
      <w:r>
        <w:rPr>
          <w:b w:val="false"/>
          <w:bCs w:val="false"/>
          <w:i w:val="false"/>
          <w:iCs w:val="false"/>
          <w:sz w:val="20"/>
          <w:szCs w:val="20"/>
        </w:rPr>
        <w:t xml:space="preserve">Atoms 1–75 of the protonated PLDC file preserve the Zn-porphyrin framework and common carbon ordering. The two new carboxyl carbons are appended as atoms 76 and 79, with their oxygen atoms 77–78 and 80–81. The added protons are atoms 82 and 83. Therefore the original Planar group definitions can be transferred without renumbering the common carbon sites.</w:t>
      </w:r>
    </w:p>
    <w:p>
      <w:pPr>
        <w:pStyle w:val="Heading2"/>
        <w:spacing w:after="75" w:before="135"/>
      </w:pPr>
      <w:r>
        <w:t xml:space="preserve">Reference population</w:t>
      </w:r>
    </w:p>
    <w:p>
      <w:pPr>
        <w:keepNext w:val="false"/>
        <w:spacing w:after="105" w:line="276"/>
        <w:jc w:val="left"/>
      </w:pPr>
      <w:r>
        <w:rPr>
          <w:b w:val="false"/>
          <w:bCs w:val="false"/>
          <w:i w:val="false"/>
          <w:iCs w:val="false"/>
          <w:sz w:val="20"/>
          <w:szCs w:val="20"/>
        </w:rPr>
        <w:t xml:space="preserve">The internal reference is the mean initial-state contribution of all 24 peripheral C_b and C_w atoms in each molecule. Using the same reference definition independently within each structure removes a common offset and focuses the comparison on relative chemical shifts.</w:t>
      </w:r>
    </w:p>
    <w:p>
      <w:r>
        <w:br w:type="page"/>
      </w:r>
    </w:p>
    <w:p>
      <w:pPr>
        <w:pStyle w:val="Heading1"/>
        <w:spacing w:after="75" w:before="190"/>
      </w:pPr>
      <w:r>
        <w:t xml:space="preserve">4. How the core-level shifts were calculated</w:t>
      </w:r>
    </w:p>
    <w:p>
      <w:pPr>
        <w:keepNext/>
        <w:spacing w:after="35" w:before="80"/>
      </w:pPr>
      <w:r>
        <w:rPr>
          <w:b/>
          <w:bCs/>
          <w:color w:val="2F75B5"/>
          <w:sz w:val="20"/>
          <w:szCs w:val="20"/>
        </w:rPr>
        <w:t xml:space="preserve">Step 1 — Prepare the molecular supercell</w:t>
      </w:r>
    </w:p>
    <w:p>
      <w:pPr>
        <w:keepNext w:val="false"/>
        <w:spacing w:after="80" w:line="276"/>
        <w:jc w:val="left"/>
      </w:pPr>
      <w:r>
        <w:rPr>
          <w:b w:val="false"/>
          <w:bCs w:val="false"/>
          <w:i w:val="false"/>
          <w:iCs w:val="false"/>
          <w:sz w:val="20"/>
          <w:szCs w:val="20"/>
        </w:rPr>
        <w:t xml:space="preserve">Each XYZ geometry was placed in a 25 Å cubic supercell. Γ-point sampling and the Martyna–Tuckerman isolated-system correction were selected because the target is an isolated molecule rather than a periodic crystal.</w:t>
      </w:r>
    </w:p>
    <w:p>
      <w:pPr>
        <w:keepNext/>
        <w:spacing w:after="35" w:before="80"/>
      </w:pPr>
      <w:r>
        <w:rPr>
          <w:b/>
          <w:bCs/>
          <w:color w:val="2F75B5"/>
          <w:sz w:val="20"/>
          <w:szCs w:val="20"/>
        </w:rPr>
        <w:t xml:space="preserve">Step 2 — Define normal and core-excited carbon species</w:t>
      </w:r>
    </w:p>
    <w:p>
      <w:pPr>
        <w:keepNext w:val="false"/>
        <w:spacing w:after="80" w:line="276"/>
        <w:jc w:val="left"/>
      </w:pPr>
      <w:r>
        <w:rPr>
          <w:b w:val="false"/>
          <w:bCs w:val="false"/>
          <w:i w:val="false"/>
          <w:iCs w:val="false"/>
          <w:sz w:val="20"/>
          <w:szCs w:val="20"/>
        </w:rPr>
        <w:t xml:space="preserve">The SCF input includes normal carbon C with C.pbe-rrkjus.UPF and an auxiliary core-excited carbon species Cs with C.star1s-pbe-rrkjus.UPF. The molecular coordinates use the normal C label; the excited species is included so initial_state.x can evaluate the normal-to-core-excited pseudopotential change for every requested carbon site.</w:t>
      </w:r>
    </w:p>
    <w:p>
      <w:pPr>
        <w:keepNext/>
        <w:spacing w:after="35" w:before="80"/>
      </w:pPr>
      <w:r>
        <w:rPr>
          <w:b/>
          <w:bCs/>
          <w:color w:val="2F75B5"/>
          <w:sz w:val="20"/>
          <w:szCs w:val="20"/>
        </w:rPr>
        <w:t xml:space="preserve">Step 3 — Run a self-consistent ground-state calculation</w:t>
      </w:r>
    </w:p>
    <w:p>
      <w:pPr>
        <w:keepNext w:val="false"/>
        <w:spacing w:after="80" w:line="276"/>
        <w:jc w:val="left"/>
      </w:pPr>
      <w:r>
        <w:rPr>
          <w:b w:val="false"/>
          <w:bCs w:val="false"/>
          <w:i w:val="false"/>
          <w:iCs w:val="false"/>
          <w:sz w:val="20"/>
          <w:szCs w:val="20"/>
        </w:rPr>
        <w:t xml:space="preserve">pw.x solves the Kohn–Sham equations using PBE, ultrasoft/vanadium-type pseudopotentials, 30 Ry wavefunction and 180 Ry density cutoffs, Marzari–Vanderbilt smearing, and local-TF charge mixing. The SCF density is converged before any site shifts are extracted.</w:t>
      </w:r>
    </w:p>
    <w:p>
      <w:pPr>
        <w:keepNext/>
        <w:spacing w:after="35" w:before="80"/>
      </w:pPr>
      <w:r>
        <w:rPr>
          <w:b/>
          <w:bCs/>
          <w:color w:val="2F75B5"/>
          <w:sz w:val="20"/>
          <w:szCs w:val="20"/>
        </w:rPr>
        <w:t xml:space="preserve">Step 4 — Evaluate site contributions with initial_state.x</w:t>
      </w:r>
    </w:p>
    <w:p>
      <w:pPr>
        <w:keepNext w:val="false"/>
        <w:spacing w:after="80" w:line="276"/>
        <w:jc w:val="left"/>
      </w:pPr>
      <w:r>
        <w:rPr>
          <w:b w:val="false"/>
          <w:bCs w:val="false"/>
          <w:i w:val="false"/>
          <w:iCs w:val="false"/>
          <w:sz w:val="20"/>
          <w:szCs w:val="20"/>
        </w:rPr>
        <w:t xml:space="preserve">For Planar, excite(2)=5 maps normal C to Cs; the earlier Planar run also mapped N to a core-excited N auxiliary species. For PLDC–COOH, excite(2)=6 maps normal C to Cs. initial_state.x then reports the initial-state contribution for every atom of the mapped normal species.</w:t>
      </w:r>
    </w:p>
    <w:p>
      <w:pPr>
        <w:keepNext/>
        <w:spacing w:after="35" w:before="80"/>
      </w:pPr>
      <w:r>
        <w:rPr>
          <w:b/>
          <w:bCs/>
          <w:color w:val="2F75B5"/>
          <w:sz w:val="20"/>
          <w:szCs w:val="20"/>
        </w:rPr>
        <w:t xml:space="preserve">Step 5 — Convert contributions into relative shifts</w:t>
      </w:r>
    </w:p>
    <w:p>
      <w:pPr>
        <w:keepNext w:val="false"/>
        <w:spacing w:after="80" w:line="276"/>
        <w:jc w:val="left"/>
      </w:pPr>
      <w:r>
        <w:rPr>
          <w:b w:val="false"/>
          <w:bCs w:val="false"/>
          <w:i w:val="false"/>
          <w:iCs w:val="false"/>
          <w:sz w:val="20"/>
          <w:szCs w:val="20"/>
        </w:rPr>
        <w:t xml:space="preserve">For carbon atom i, the reported value is ΔE_i = mean[IS(C_b+C_w)] − IS_i. This is the reference-minus-site sign used by the Quantum ESPRESSO CLS_IS_example. Positive and negative shifts therefore indicate position relative to the chosen internal carbon reference; they are not absolute C 1s binding energies.</w:t>
      </w:r>
    </w:p>
    <w:p>
      <w:pPr>
        <w:keepNext/>
        <w:spacing w:after="35" w:before="80"/>
      </w:pPr>
      <w:r>
        <w:rPr>
          <w:b/>
          <w:bCs/>
          <w:color w:val="2F75B5"/>
          <w:sz w:val="20"/>
          <w:szCs w:val="20"/>
        </w:rPr>
        <w:t xml:space="preserve">Step 6 — Build spectra</w:t>
      </w:r>
    </w:p>
    <w:p>
      <w:pPr>
        <w:keepNext w:val="false"/>
        <w:spacing w:after="80" w:line="276"/>
        <w:jc w:val="left"/>
      </w:pPr>
      <w:r>
        <w:rPr>
          <w:b w:val="false"/>
          <w:bCs w:val="false"/>
          <w:i w:val="false"/>
          <w:iCs w:val="false"/>
          <w:sz w:val="20"/>
          <w:szCs w:val="20"/>
        </w:rPr>
        <w:t xml:space="preserve">Each discrete carbon shift contributes a unit-area Gaussian, G_i(E)=exp[−4 ln(2)((E−ΔE_i)/FWHM)^2], with FWHM = 0.35 eV. Curves are summed by group. The blue background combines C_L,alpha+C_alpha; the amber background combines all remaining groups. Individual groups are drawn in front and no total line is shown.</w:t>
      </w:r>
    </w:p>
    <w:p>
      <w:pPr>
        <w:pStyle w:val="Heading2"/>
        <w:spacing w:after="75" w:before="135"/>
      </w:pPr>
      <w:r>
        <w:t xml:space="preserve">Pseudopotentials used</w:t>
      </w:r>
    </w:p>
    <w:tbl>
      <w:tblPr>
        <w:tblW w:type="dxa" w:w="9360"/>
        <w:tblBorders>
          <w:top w:val="single" w:color="B7C3D0" w:sz="4"/>
          <w:left w:val="single" w:color="B7C3D0" w:sz="4"/>
          <w:bottom w:val="single" w:color="B7C3D0" w:sz="4"/>
          <w:right w:val="single" w:color="B7C3D0" w:sz="4"/>
          <w:insideH w:val="single" w:color="D9E0E7" w:sz="3"/>
          <w:insideV w:val="single" w:color="D9E0E7" w:sz="3"/>
        </w:tblBorders>
      </w:tblPr>
      <w:tblGrid>
        <w:gridCol w:w="2450"/>
        <w:gridCol w:w="6910"/>
      </w:tblGrid>
      <w:tr>
        <w:tc>
          <w:tcPr>
            <w:tcW w:type="dxa" w:w="2450"/>
            <w:shd w:fill="DDEAF5" w:val="clear"/>
            <w:tcMar>
              <w:top w:type="dxa" w:w="62"/>
              <w:left w:type="dxa" w:w="72"/>
              <w:bottom w:type="dxa" w:w="62"/>
              <w:right w:type="dxa" w:w="72"/>
            </w:tcMar>
          </w:tcPr>
          <w:p>
            <w:pPr>
              <w:spacing w:after="0"/>
            </w:pPr>
            <w:r>
              <w:rPr>
                <w:b/>
                <w:bCs/>
                <w:color w:val="17365D"/>
                <w:sz w:val="17"/>
                <w:szCs w:val="17"/>
              </w:rPr>
              <w:t xml:space="preserve">Zn</w:t>
            </w:r>
          </w:p>
        </w:tc>
        <w:tc>
          <w:tcPr>
            <w:tcW w:type="dxa" w:w="6910"/>
            <w:shd w:fill="F8FAFC" w:val="clear"/>
            <w:tcMar>
              <w:top w:type="dxa" w:w="62"/>
              <w:left w:type="dxa" w:w="72"/>
              <w:bottom w:type="dxa" w:w="62"/>
              <w:right w:type="dxa" w:w="72"/>
            </w:tcMar>
          </w:tcPr>
          <w:p>
            <w:pPr>
              <w:spacing w:after="0"/>
            </w:pPr>
            <w:r>
              <w:rPr>
                <w:sz w:val="17"/>
                <w:szCs w:val="17"/>
              </w:rPr>
              <w:t xml:space="preserve">Zn.pbe-van.UPF</w:t>
            </w:r>
          </w:p>
        </w:tc>
      </w:tr>
      <w:tr>
        <w:tc>
          <w:tcPr>
            <w:tcW w:type="dxa" w:w="2450"/>
            <w:shd w:fill="EDF3F8" w:val="clear"/>
            <w:tcMar>
              <w:top w:type="dxa" w:w="62"/>
              <w:left w:type="dxa" w:w="72"/>
              <w:bottom w:type="dxa" w:w="62"/>
              <w:right w:type="dxa" w:w="72"/>
            </w:tcMar>
          </w:tcPr>
          <w:p>
            <w:pPr>
              <w:spacing w:after="0"/>
            </w:pPr>
            <w:r>
              <w:rPr>
                <w:b/>
                <w:bCs/>
                <w:color w:val="17365D"/>
                <w:sz w:val="17"/>
                <w:szCs w:val="17"/>
              </w:rPr>
              <w:t xml:space="preserve">C / core-excited C</w:t>
            </w:r>
          </w:p>
        </w:tc>
        <w:tc>
          <w:tcPr>
            <w:tcW w:type="dxa" w:w="6910"/>
            <w:shd w:fill="FFFFFF" w:val="clear"/>
            <w:tcMar>
              <w:top w:type="dxa" w:w="62"/>
              <w:left w:type="dxa" w:w="72"/>
              <w:bottom w:type="dxa" w:w="62"/>
              <w:right w:type="dxa" w:w="72"/>
            </w:tcMar>
          </w:tcPr>
          <w:p>
            <w:pPr>
              <w:spacing w:after="0"/>
            </w:pPr>
            <w:r>
              <w:rPr>
                <w:sz w:val="17"/>
                <w:szCs w:val="17"/>
              </w:rPr>
              <w:t xml:space="preserve">C.pbe-rrkjus.UPF / C.star1s-pbe-rrkjus.UPF</w:t>
            </w:r>
          </w:p>
        </w:tc>
      </w:tr>
      <w:tr>
        <w:tc>
          <w:tcPr>
            <w:tcW w:type="dxa" w:w="2450"/>
            <w:shd w:fill="DDEAF5" w:val="clear"/>
            <w:tcMar>
              <w:top w:type="dxa" w:w="62"/>
              <w:left w:type="dxa" w:w="72"/>
              <w:bottom w:type="dxa" w:w="62"/>
              <w:right w:type="dxa" w:w="72"/>
            </w:tcMar>
          </w:tcPr>
          <w:p>
            <w:pPr>
              <w:spacing w:after="0"/>
            </w:pPr>
            <w:r>
              <w:rPr>
                <w:b/>
                <w:bCs/>
                <w:color w:val="17365D"/>
                <w:sz w:val="17"/>
                <w:szCs w:val="17"/>
              </w:rPr>
              <w:t xml:space="preserve">N</w:t>
            </w:r>
          </w:p>
        </w:tc>
        <w:tc>
          <w:tcPr>
            <w:tcW w:type="dxa" w:w="6910"/>
            <w:shd w:fill="F8FAFC" w:val="clear"/>
            <w:tcMar>
              <w:top w:type="dxa" w:w="62"/>
              <w:left w:type="dxa" w:w="72"/>
              <w:bottom w:type="dxa" w:w="62"/>
              <w:right w:type="dxa" w:w="72"/>
            </w:tcMar>
          </w:tcPr>
          <w:p>
            <w:pPr>
              <w:spacing w:after="0"/>
            </w:pPr>
            <w:r>
              <w:rPr>
                <w:sz w:val="17"/>
                <w:szCs w:val="17"/>
              </w:rPr>
              <w:t xml:space="preserve">N.pbe-van_ak.UPF</w:t>
            </w:r>
          </w:p>
        </w:tc>
      </w:tr>
      <w:tr>
        <w:tc>
          <w:tcPr>
            <w:tcW w:type="dxa" w:w="2450"/>
            <w:shd w:fill="EDF3F8" w:val="clear"/>
            <w:tcMar>
              <w:top w:type="dxa" w:w="62"/>
              <w:left w:type="dxa" w:w="72"/>
              <w:bottom w:type="dxa" w:w="62"/>
              <w:right w:type="dxa" w:w="72"/>
            </w:tcMar>
          </w:tcPr>
          <w:p>
            <w:pPr>
              <w:spacing w:after="0"/>
            </w:pPr>
            <w:r>
              <w:rPr>
                <w:b/>
                <w:bCs/>
                <w:color w:val="17365D"/>
                <w:sz w:val="17"/>
                <w:szCs w:val="17"/>
              </w:rPr>
              <w:t xml:space="preserve">H</w:t>
            </w:r>
          </w:p>
        </w:tc>
        <w:tc>
          <w:tcPr>
            <w:tcW w:type="dxa" w:w="6910"/>
            <w:shd w:fill="FFFFFF" w:val="clear"/>
            <w:tcMar>
              <w:top w:type="dxa" w:w="62"/>
              <w:left w:type="dxa" w:w="72"/>
              <w:bottom w:type="dxa" w:w="62"/>
              <w:right w:type="dxa" w:w="72"/>
            </w:tcMar>
          </w:tcPr>
          <w:p>
            <w:pPr>
              <w:spacing w:after="0"/>
            </w:pPr>
            <w:r>
              <w:rPr>
                <w:sz w:val="17"/>
                <w:szCs w:val="17"/>
              </w:rPr>
              <w:t xml:space="preserve">H.pbe-rrkjus.UPF</w:t>
            </w:r>
          </w:p>
        </w:tc>
      </w:tr>
      <w:tr>
        <w:tc>
          <w:tcPr>
            <w:tcW w:type="dxa" w:w="2450"/>
            <w:shd w:fill="DDEAF5" w:val="clear"/>
            <w:tcMar>
              <w:top w:type="dxa" w:w="62"/>
              <w:left w:type="dxa" w:w="72"/>
              <w:bottom w:type="dxa" w:w="62"/>
              <w:right w:type="dxa" w:w="72"/>
            </w:tcMar>
          </w:tcPr>
          <w:p>
            <w:pPr>
              <w:spacing w:after="0"/>
            </w:pPr>
            <w:r>
              <w:rPr>
                <w:b/>
                <w:bCs/>
                <w:color w:val="17365D"/>
                <w:sz w:val="17"/>
                <w:szCs w:val="17"/>
              </w:rPr>
              <w:t xml:space="preserve">O</w:t>
            </w:r>
          </w:p>
        </w:tc>
        <w:tc>
          <w:tcPr>
            <w:tcW w:type="dxa" w:w="6910"/>
            <w:shd w:fill="F8FAFC" w:val="clear"/>
            <w:tcMar>
              <w:top w:type="dxa" w:w="62"/>
              <w:left w:type="dxa" w:w="72"/>
              <w:bottom w:type="dxa" w:w="62"/>
              <w:right w:type="dxa" w:w="72"/>
            </w:tcMar>
          </w:tcPr>
          <w:p>
            <w:pPr>
              <w:spacing w:after="0"/>
            </w:pPr>
            <w:r>
              <w:rPr>
                <w:sz w:val="17"/>
                <w:szCs w:val="17"/>
              </w:rPr>
              <w:t xml:space="preserve">O.pbe-rrkjus.UPF</w:t>
            </w:r>
          </w:p>
        </w:tc>
      </w:tr>
    </w:tbl>
    <w:p>
      <w:r>
        <w:br w:type="page"/>
      </w:r>
    </w:p>
    <w:p>
      <w:pPr>
        <w:pStyle w:val="Heading1"/>
        <w:spacing w:after="75" w:before="190"/>
      </w:pPr>
      <w:r>
        <w:t xml:space="preserve">5. Parameter choices and rationale</w:t>
      </w:r>
    </w:p>
    <w:p>
      <w:pPr>
        <w:keepNext w:val="false"/>
        <w:spacing w:after="105" w:line="276"/>
        <w:jc w:val="left"/>
      </w:pPr>
      <w:r>
        <w:rPr>
          <w:b w:val="false"/>
          <w:bCs w:val="false"/>
          <w:i w:val="false"/>
          <w:iCs w:val="false"/>
          <w:sz w:val="20"/>
          <w:szCs w:val="20"/>
        </w:rPr>
        <w:t xml:space="preserve">The objective was a controlled difference between the two molecules. Consequently, numerical settings were kept identical wherever possible. The choices below are working settings validated by successful SCF convergence, not a completed publication-level convergence study.</w:t>
      </w:r>
    </w:p>
    <w:tbl>
      <w:tblPr>
        <w:tblW w:type="dxa" w:w="9360"/>
        <w:tblBorders>
          <w:top w:val="single" w:color="B7C3D0" w:sz="4"/>
          <w:left w:val="single" w:color="B7C3D0" w:sz="4"/>
          <w:bottom w:val="single" w:color="B7C3D0" w:sz="4"/>
          <w:right w:val="single" w:color="B7C3D0" w:sz="4"/>
          <w:insideH w:val="single" w:color="D9E0E7" w:sz="3"/>
          <w:insideV w:val="single" w:color="D9E0E7" w:sz="3"/>
        </w:tblBorders>
      </w:tblPr>
      <w:tblGrid>
        <w:gridCol w:w="1760"/>
        <w:gridCol w:w="1620"/>
        <w:gridCol w:w="3820"/>
        <w:gridCol w:w="2160"/>
      </w:tblGrid>
      <w:tr>
        <w:trPr>
          <w:tblHeader/>
        </w:trPr>
        <w:tc>
          <w:tcPr>
            <w:tcW w:type="dxa" w:w="1760"/>
            <w:shd w:fill="17365D" w:val="clear"/>
            <w:tcMar>
              <w:top w:type="dxa" w:w="62"/>
              <w:left w:type="dxa" w:w="68"/>
              <w:bottom w:type="dxa" w:w="62"/>
              <w:right w:type="dxa" w:w="68"/>
            </w:tcMar>
            <w:vAlign w:val="center"/>
          </w:tcPr>
          <w:p>
            <w:pPr>
              <w:spacing w:after="0"/>
              <w:jc w:val="left"/>
            </w:pPr>
            <w:r>
              <w:rPr>
                <w:b/>
                <w:bCs/>
                <w:color w:val="FFFFFF"/>
                <w:sz w:val="17"/>
                <w:szCs w:val="17"/>
              </w:rPr>
              <w:t xml:space="preserve">Parameter</w:t>
            </w:r>
          </w:p>
        </w:tc>
        <w:tc>
          <w:tcPr>
            <w:tcW w:type="dxa" w:w="1620"/>
            <w:shd w:fill="17365D" w:val="clear"/>
            <w:tcMar>
              <w:top w:type="dxa" w:w="62"/>
              <w:left w:type="dxa" w:w="68"/>
              <w:bottom w:type="dxa" w:w="62"/>
              <w:right w:type="dxa" w:w="68"/>
            </w:tcMar>
            <w:vAlign w:val="center"/>
          </w:tcPr>
          <w:p>
            <w:pPr>
              <w:spacing w:after="0"/>
              <w:jc w:val="left"/>
            </w:pPr>
            <w:r>
              <w:rPr>
                <w:b/>
                <w:bCs/>
                <w:color w:val="FFFFFF"/>
                <w:sz w:val="17"/>
                <w:szCs w:val="17"/>
              </w:rPr>
              <w:t xml:space="preserve">Value</w:t>
            </w:r>
          </w:p>
        </w:tc>
        <w:tc>
          <w:tcPr>
            <w:tcW w:type="dxa" w:w="3820"/>
            <w:shd w:fill="17365D" w:val="clear"/>
            <w:tcMar>
              <w:top w:type="dxa" w:w="62"/>
              <w:left w:type="dxa" w:w="68"/>
              <w:bottom w:type="dxa" w:w="62"/>
              <w:right w:type="dxa" w:w="68"/>
            </w:tcMar>
            <w:vAlign w:val="center"/>
          </w:tcPr>
          <w:p>
            <w:pPr>
              <w:spacing w:after="0"/>
              <w:jc w:val="left"/>
            </w:pPr>
            <w:r>
              <w:rPr>
                <w:b/>
                <w:bCs/>
                <w:color w:val="FFFFFF"/>
                <w:sz w:val="17"/>
                <w:szCs w:val="17"/>
              </w:rPr>
              <w:t xml:space="preserve">Reason for selection</w:t>
            </w:r>
          </w:p>
        </w:tc>
        <w:tc>
          <w:tcPr>
            <w:tcW w:type="dxa" w:w="2160"/>
            <w:shd w:fill="17365D" w:val="clear"/>
            <w:tcMar>
              <w:top w:type="dxa" w:w="62"/>
              <w:left w:type="dxa" w:w="68"/>
              <w:bottom w:type="dxa" w:w="62"/>
              <w:right w:type="dxa" w:w="68"/>
            </w:tcMar>
            <w:vAlign w:val="center"/>
          </w:tcPr>
          <w:p>
            <w:pPr>
              <w:spacing w:after="0"/>
              <w:jc w:val="left"/>
            </w:pPr>
            <w:r>
              <w:rPr>
                <w:b/>
                <w:bCs/>
                <w:color w:val="FFFFFF"/>
                <w:sz w:val="17"/>
                <w:szCs w:val="17"/>
              </w:rPr>
              <w:t xml:space="preserve">Caution</w:t>
            </w:r>
          </w:p>
        </w:tc>
      </w:tr>
      <w:tr>
        <w:tc>
          <w:tcPr>
            <w:tcW w:type="dxa" w:w="1760"/>
            <w:tcMar>
              <w:top w:type="dxa" w:w="62"/>
              <w:left w:type="dxa" w:w="68"/>
              <w:bottom w:type="dxa" w:w="62"/>
              <w:right w:type="dxa" w:w="68"/>
            </w:tcMar>
            <w:vAlign w:val="center"/>
          </w:tcPr>
          <w:p>
            <w:pPr>
              <w:spacing w:after="0"/>
              <w:jc w:val="left"/>
            </w:pPr>
            <w:r>
              <w:rPr>
                <w:b w:val="false"/>
                <w:bCs w:val="false"/>
                <w:color w:val="222222"/>
                <w:sz w:val="16"/>
                <w:szCs w:val="16"/>
              </w:rPr>
              <w:t xml:space="preserve">Functional</w:t>
            </w:r>
          </w:p>
        </w:tc>
        <w:tc>
          <w:tcPr>
            <w:tcW w:type="dxa" w:w="1620"/>
            <w:tcMar>
              <w:top w:type="dxa" w:w="62"/>
              <w:left w:type="dxa" w:w="68"/>
              <w:bottom w:type="dxa" w:w="62"/>
              <w:right w:type="dxa" w:w="68"/>
            </w:tcMar>
            <w:vAlign w:val="center"/>
          </w:tcPr>
          <w:p>
            <w:pPr>
              <w:spacing w:after="0"/>
              <w:jc w:val="left"/>
            </w:pPr>
            <w:r>
              <w:rPr>
                <w:b w:val="false"/>
                <w:bCs w:val="false"/>
                <w:color w:val="222222"/>
                <w:sz w:val="16"/>
                <w:szCs w:val="16"/>
              </w:rPr>
              <w:t xml:space="preserve">PBE</w:t>
            </w:r>
          </w:p>
        </w:tc>
        <w:tc>
          <w:tcPr>
            <w:tcW w:type="dxa" w:w="3820"/>
            <w:tcMar>
              <w:top w:type="dxa" w:w="62"/>
              <w:left w:type="dxa" w:w="68"/>
              <w:bottom w:type="dxa" w:w="62"/>
              <w:right w:type="dxa" w:w="68"/>
            </w:tcMar>
            <w:vAlign w:val="center"/>
          </w:tcPr>
          <w:p>
            <w:pPr>
              <w:spacing w:after="0"/>
              <w:jc w:val="left"/>
            </w:pPr>
            <w:r>
              <w:rPr>
                <w:b w:val="false"/>
                <w:bCs w:val="false"/>
                <w:color w:val="222222"/>
                <w:sz w:val="16"/>
                <w:szCs w:val="16"/>
              </w:rPr>
              <w:t xml:space="preserve">Matches the exchange–correlation form used to generate the selected pseudopotentials and provides a consistent comparison.</w:t>
            </w:r>
          </w:p>
        </w:tc>
        <w:tc>
          <w:tcPr>
            <w:tcW w:type="dxa" w:w="2160"/>
            <w:tcMar>
              <w:top w:type="dxa" w:w="62"/>
              <w:left w:type="dxa" w:w="68"/>
              <w:bottom w:type="dxa" w:w="62"/>
              <w:right w:type="dxa" w:w="68"/>
            </w:tcMar>
            <w:vAlign w:val="center"/>
          </w:tcPr>
          <w:p>
            <w:pPr>
              <w:spacing w:after="0"/>
              <w:jc w:val="left"/>
            </w:pPr>
            <w:r>
              <w:rPr>
                <w:b w:val="false"/>
                <w:bCs w:val="false"/>
                <w:color w:val="222222"/>
                <w:sz w:val="16"/>
                <w:szCs w:val="16"/>
              </w:rPr>
              <w:t xml:space="preserve">A functional-sensitivity study was not performed.</w:t>
            </w:r>
          </w:p>
        </w:tc>
      </w:tr>
      <w:tr>
        <w:tc>
          <w:tcPr>
            <w:tcW w:type="dxa" w:w="1760"/>
            <w:tcMar>
              <w:top w:type="dxa" w:w="62"/>
              <w:left w:type="dxa" w:w="68"/>
              <w:bottom w:type="dxa" w:w="62"/>
              <w:right w:type="dxa" w:w="68"/>
            </w:tcMar>
            <w:vAlign w:val="center"/>
          </w:tcPr>
          <w:p>
            <w:pPr>
              <w:spacing w:after="0"/>
              <w:jc w:val="left"/>
            </w:pPr>
            <w:r>
              <w:rPr>
                <w:b w:val="false"/>
                <w:bCs w:val="false"/>
                <w:color w:val="222222"/>
                <w:sz w:val="16"/>
                <w:szCs w:val="16"/>
              </w:rPr>
              <w:t xml:space="preserve">Cell</w:t>
            </w:r>
          </w:p>
        </w:tc>
        <w:tc>
          <w:tcPr>
            <w:tcW w:type="dxa" w:w="1620"/>
            <w:tcMar>
              <w:top w:type="dxa" w:w="62"/>
              <w:left w:type="dxa" w:w="68"/>
              <w:bottom w:type="dxa" w:w="62"/>
              <w:right w:type="dxa" w:w="68"/>
            </w:tcMar>
            <w:vAlign w:val="center"/>
          </w:tcPr>
          <w:p>
            <w:pPr>
              <w:spacing w:after="0"/>
              <w:jc w:val="left"/>
            </w:pPr>
            <w:r>
              <w:rPr>
                <w:b w:val="false"/>
                <w:bCs w:val="false"/>
                <w:color w:val="222222"/>
                <w:sz w:val="16"/>
                <w:szCs w:val="16"/>
              </w:rPr>
              <w:t xml:space="preserve">25 Å cubic</w:t>
            </w:r>
          </w:p>
        </w:tc>
        <w:tc>
          <w:tcPr>
            <w:tcW w:type="dxa" w:w="3820"/>
            <w:tcMar>
              <w:top w:type="dxa" w:w="62"/>
              <w:left w:type="dxa" w:w="68"/>
              <w:bottom w:type="dxa" w:w="62"/>
              <w:right w:type="dxa" w:w="68"/>
            </w:tcMar>
            <w:vAlign w:val="center"/>
          </w:tcPr>
          <w:p>
            <w:pPr>
              <w:spacing w:after="0"/>
              <w:jc w:val="left"/>
            </w:pPr>
            <w:r>
              <w:rPr>
                <w:b w:val="false"/>
                <w:bCs w:val="false"/>
                <w:color w:val="222222"/>
                <w:sz w:val="16"/>
                <w:szCs w:val="16"/>
              </w:rPr>
              <w:t xml:space="preserve">Keeps both molecules in the same supercell; the protonated PLDC geometry retains about 7 Å nearest-image separation along its longest direction.</w:t>
            </w:r>
          </w:p>
        </w:tc>
        <w:tc>
          <w:tcPr>
            <w:tcW w:type="dxa" w:w="2160"/>
            <w:tcMar>
              <w:top w:type="dxa" w:w="62"/>
              <w:left w:type="dxa" w:w="68"/>
              <w:bottom w:type="dxa" w:w="62"/>
              <w:right w:type="dxa" w:w="68"/>
            </w:tcMar>
            <w:vAlign w:val="center"/>
          </w:tcPr>
          <w:p>
            <w:pPr>
              <w:spacing w:after="0"/>
              <w:jc w:val="left"/>
            </w:pPr>
            <w:r>
              <w:rPr>
                <w:b w:val="false"/>
                <w:bCs w:val="false"/>
                <w:color w:val="222222"/>
                <w:sz w:val="16"/>
                <w:szCs w:val="16"/>
              </w:rPr>
              <w:t xml:space="preserve">Cell-size convergence should be checked for publication.</w:t>
            </w:r>
          </w:p>
        </w:tc>
      </w:tr>
      <w:tr>
        <w:tc>
          <w:tcPr>
            <w:tcW w:type="dxa" w:w="1760"/>
            <w:tcMar>
              <w:top w:type="dxa" w:w="62"/>
              <w:left w:type="dxa" w:w="68"/>
              <w:bottom w:type="dxa" w:w="62"/>
              <w:right w:type="dxa" w:w="68"/>
            </w:tcMar>
            <w:vAlign w:val="center"/>
          </w:tcPr>
          <w:p>
            <w:pPr>
              <w:spacing w:after="0"/>
              <w:jc w:val="left"/>
            </w:pPr>
            <w:r>
              <w:rPr>
                <w:b w:val="false"/>
                <w:bCs w:val="false"/>
                <w:color w:val="222222"/>
                <w:sz w:val="16"/>
                <w:szCs w:val="16"/>
              </w:rPr>
              <w:t xml:space="preserve">Isolation</w:t>
            </w:r>
          </w:p>
        </w:tc>
        <w:tc>
          <w:tcPr>
            <w:tcW w:type="dxa" w:w="1620"/>
            <w:tcMar>
              <w:top w:type="dxa" w:w="62"/>
              <w:left w:type="dxa" w:w="68"/>
              <w:bottom w:type="dxa" w:w="62"/>
              <w:right w:type="dxa" w:w="68"/>
            </w:tcMar>
            <w:vAlign w:val="center"/>
          </w:tcPr>
          <w:p>
            <w:pPr>
              <w:spacing w:after="0"/>
              <w:jc w:val="left"/>
            </w:pPr>
            <w:r>
              <w:rPr>
                <w:b w:val="false"/>
                <w:bCs w:val="false"/>
                <w:color w:val="222222"/>
                <w:sz w:val="16"/>
                <w:szCs w:val="16"/>
              </w:rPr>
              <w:t xml:space="preserve">Martyna–Tuckerman</w:t>
            </w:r>
          </w:p>
        </w:tc>
        <w:tc>
          <w:tcPr>
            <w:tcW w:type="dxa" w:w="3820"/>
            <w:tcMar>
              <w:top w:type="dxa" w:w="62"/>
              <w:left w:type="dxa" w:w="68"/>
              <w:bottom w:type="dxa" w:w="62"/>
              <w:right w:type="dxa" w:w="68"/>
            </w:tcMar>
            <w:vAlign w:val="center"/>
          </w:tcPr>
          <w:p>
            <w:pPr>
              <w:spacing w:after="0"/>
              <w:jc w:val="left"/>
            </w:pPr>
            <w:r>
              <w:rPr>
                <w:b w:val="false"/>
                <w:bCs w:val="false"/>
                <w:color w:val="222222"/>
                <w:sz w:val="16"/>
                <w:szCs w:val="16"/>
              </w:rPr>
              <w:t xml:space="preserve">Reduces electrostatic interaction between periodic replicas of an isolated molecule.</w:t>
            </w:r>
          </w:p>
        </w:tc>
        <w:tc>
          <w:tcPr>
            <w:tcW w:type="dxa" w:w="2160"/>
            <w:tcMar>
              <w:top w:type="dxa" w:w="62"/>
              <w:left w:type="dxa" w:w="68"/>
              <w:bottom w:type="dxa" w:w="62"/>
              <w:right w:type="dxa" w:w="68"/>
            </w:tcMar>
            <w:vAlign w:val="center"/>
          </w:tcPr>
          <w:p>
            <w:pPr>
              <w:spacing w:after="0"/>
              <w:jc w:val="left"/>
            </w:pPr>
            <w:r>
              <w:rPr>
                <w:b w:val="false"/>
                <w:bCs w:val="false"/>
                <w:color w:val="222222"/>
                <w:sz w:val="16"/>
                <w:szCs w:val="16"/>
              </w:rPr>
              <w:t xml:space="preserve">Does not replace a cell-size test.</w:t>
            </w:r>
          </w:p>
        </w:tc>
      </w:tr>
      <w:tr>
        <w:tc>
          <w:tcPr>
            <w:tcW w:type="dxa" w:w="1760"/>
            <w:tcMar>
              <w:top w:type="dxa" w:w="62"/>
              <w:left w:type="dxa" w:w="68"/>
              <w:bottom w:type="dxa" w:w="62"/>
              <w:right w:type="dxa" w:w="68"/>
            </w:tcMar>
            <w:vAlign w:val="center"/>
          </w:tcPr>
          <w:p>
            <w:pPr>
              <w:spacing w:after="0"/>
              <w:jc w:val="left"/>
            </w:pPr>
            <w:r>
              <w:rPr>
                <w:b w:val="false"/>
                <w:bCs w:val="false"/>
                <w:color w:val="222222"/>
                <w:sz w:val="16"/>
                <w:szCs w:val="16"/>
              </w:rPr>
              <w:t xml:space="preserve">k points</w:t>
            </w:r>
          </w:p>
        </w:tc>
        <w:tc>
          <w:tcPr>
            <w:tcW w:type="dxa" w:w="1620"/>
            <w:tcMar>
              <w:top w:type="dxa" w:w="62"/>
              <w:left w:type="dxa" w:w="68"/>
              <w:bottom w:type="dxa" w:w="62"/>
              <w:right w:type="dxa" w:w="68"/>
            </w:tcMar>
            <w:vAlign w:val="center"/>
          </w:tcPr>
          <w:p>
            <w:pPr>
              <w:spacing w:after="0"/>
              <w:jc w:val="left"/>
            </w:pPr>
            <w:r>
              <w:rPr>
                <w:b w:val="false"/>
                <w:bCs w:val="false"/>
                <w:color w:val="222222"/>
                <w:sz w:val="16"/>
                <w:szCs w:val="16"/>
              </w:rPr>
              <w:t xml:space="preserve">Γ only</w:t>
            </w:r>
          </w:p>
        </w:tc>
        <w:tc>
          <w:tcPr>
            <w:tcW w:type="dxa" w:w="3820"/>
            <w:tcMar>
              <w:top w:type="dxa" w:w="62"/>
              <w:left w:type="dxa" w:w="68"/>
              <w:bottom w:type="dxa" w:w="62"/>
              <w:right w:type="dxa" w:w="68"/>
            </w:tcMar>
            <w:vAlign w:val="center"/>
          </w:tcPr>
          <w:p>
            <w:pPr>
              <w:spacing w:after="0"/>
              <w:jc w:val="left"/>
            </w:pPr>
            <w:r>
              <w:rPr>
                <w:b w:val="false"/>
                <w:bCs w:val="false"/>
                <w:color w:val="222222"/>
                <w:sz w:val="16"/>
                <w:szCs w:val="16"/>
              </w:rPr>
              <w:t xml:space="preserve">An isolated molecule in a large cubic supercell has no meaningful band dispersion.</w:t>
            </w:r>
          </w:p>
        </w:tc>
        <w:tc>
          <w:tcPr>
            <w:tcW w:type="dxa" w:w="2160"/>
            <w:tcMar>
              <w:top w:type="dxa" w:w="62"/>
              <w:left w:type="dxa" w:w="68"/>
              <w:bottom w:type="dxa" w:w="62"/>
              <w:right w:type="dxa" w:w="68"/>
            </w:tcMar>
            <w:vAlign w:val="center"/>
          </w:tcPr>
          <w:p>
            <w:pPr>
              <w:spacing w:after="0"/>
              <w:jc w:val="left"/>
            </w:pPr>
            <w:r>
              <w:rPr>
                <w:b w:val="false"/>
                <w:bCs w:val="false"/>
                <w:color w:val="222222"/>
                <w:sz w:val="16"/>
                <w:szCs w:val="16"/>
              </w:rPr>
              <w:t xml:space="preserve">Appropriate only for the molecular-supercell model.</w:t>
            </w:r>
          </w:p>
        </w:tc>
      </w:tr>
      <w:tr>
        <w:tc>
          <w:tcPr>
            <w:tcW w:type="dxa" w:w="1760"/>
            <w:tcMar>
              <w:top w:type="dxa" w:w="62"/>
              <w:left w:type="dxa" w:w="68"/>
              <w:bottom w:type="dxa" w:w="62"/>
              <w:right w:type="dxa" w:w="68"/>
            </w:tcMar>
            <w:vAlign w:val="center"/>
          </w:tcPr>
          <w:p>
            <w:pPr>
              <w:spacing w:after="0"/>
              <w:jc w:val="left"/>
            </w:pPr>
            <w:r>
              <w:rPr>
                <w:b w:val="false"/>
                <w:bCs w:val="false"/>
                <w:color w:val="222222"/>
                <w:sz w:val="16"/>
                <w:szCs w:val="16"/>
              </w:rPr>
              <w:t xml:space="preserve">Cutoffs</w:t>
            </w:r>
          </w:p>
        </w:tc>
        <w:tc>
          <w:tcPr>
            <w:tcW w:type="dxa" w:w="1620"/>
            <w:tcMar>
              <w:top w:type="dxa" w:w="62"/>
              <w:left w:type="dxa" w:w="68"/>
              <w:bottom w:type="dxa" w:w="62"/>
              <w:right w:type="dxa" w:w="68"/>
            </w:tcMar>
            <w:vAlign w:val="center"/>
          </w:tcPr>
          <w:p>
            <w:pPr>
              <w:spacing w:after="0"/>
              <w:jc w:val="left"/>
            </w:pPr>
            <w:r>
              <w:rPr>
                <w:b w:val="false"/>
                <w:bCs w:val="false"/>
                <w:color w:val="222222"/>
                <w:sz w:val="16"/>
                <w:szCs w:val="16"/>
              </w:rPr>
              <w:t xml:space="preserve">30 / 180 Ry</w:t>
            </w:r>
          </w:p>
        </w:tc>
        <w:tc>
          <w:tcPr>
            <w:tcW w:type="dxa" w:w="3820"/>
            <w:tcMar>
              <w:top w:type="dxa" w:w="62"/>
              <w:left w:type="dxa" w:w="68"/>
              <w:bottom w:type="dxa" w:w="62"/>
              <w:right w:type="dxa" w:w="68"/>
            </w:tcMar>
            <w:vAlign w:val="center"/>
          </w:tcPr>
          <w:p>
            <w:pPr>
              <w:spacing w:after="0"/>
              <w:jc w:val="left"/>
            </w:pPr>
            <w:r>
              <w:rPr>
                <w:b w:val="false"/>
                <w:bCs w:val="false"/>
                <w:color w:val="222222"/>
                <w:sz w:val="16"/>
                <w:szCs w:val="16"/>
              </w:rPr>
              <w:t xml:space="preserve">Working values already demonstrated for the Planar pseudopotential set; 180 Ry is six times the wavefunction cutoff for ultrasoft augmentation density.</w:t>
            </w:r>
          </w:p>
        </w:tc>
        <w:tc>
          <w:tcPr>
            <w:tcW w:type="dxa" w:w="2160"/>
            <w:tcMar>
              <w:top w:type="dxa" w:w="62"/>
              <w:left w:type="dxa" w:w="68"/>
              <w:bottom w:type="dxa" w:w="62"/>
              <w:right w:type="dxa" w:w="68"/>
            </w:tcMar>
            <w:vAlign w:val="center"/>
          </w:tcPr>
          <w:p>
            <w:pPr>
              <w:spacing w:after="0"/>
              <w:jc w:val="left"/>
            </w:pPr>
            <w:r>
              <w:rPr>
                <w:b w:val="false"/>
                <w:bCs w:val="false"/>
                <w:color w:val="222222"/>
                <w:sz w:val="16"/>
                <w:szCs w:val="16"/>
              </w:rPr>
              <w:t xml:space="preserve">No independent cutoff-convergence series was run.</w:t>
            </w:r>
          </w:p>
        </w:tc>
      </w:tr>
      <w:tr>
        <w:tc>
          <w:tcPr>
            <w:tcW w:type="dxa" w:w="1760"/>
            <w:tcMar>
              <w:top w:type="dxa" w:w="62"/>
              <w:left w:type="dxa" w:w="68"/>
              <w:bottom w:type="dxa" w:w="62"/>
              <w:right w:type="dxa" w:w="68"/>
            </w:tcMar>
            <w:vAlign w:val="center"/>
          </w:tcPr>
          <w:p>
            <w:pPr>
              <w:spacing w:after="0"/>
              <w:jc w:val="left"/>
            </w:pPr>
            <w:r>
              <w:rPr>
                <w:b w:val="false"/>
                <w:bCs w:val="false"/>
                <w:color w:val="222222"/>
                <w:sz w:val="16"/>
                <w:szCs w:val="16"/>
              </w:rPr>
              <w:t xml:space="preserve">Smearing</w:t>
            </w:r>
          </w:p>
        </w:tc>
        <w:tc>
          <w:tcPr>
            <w:tcW w:type="dxa" w:w="1620"/>
            <w:tcMar>
              <w:top w:type="dxa" w:w="62"/>
              <w:left w:type="dxa" w:w="68"/>
              <w:bottom w:type="dxa" w:w="62"/>
              <w:right w:type="dxa" w:w="68"/>
            </w:tcMar>
            <w:vAlign w:val="center"/>
          </w:tcPr>
          <w:p>
            <w:pPr>
              <w:spacing w:after="0"/>
              <w:jc w:val="left"/>
            </w:pPr>
            <w:r>
              <w:rPr>
                <w:b w:val="false"/>
                <w:bCs w:val="false"/>
                <w:color w:val="222222"/>
                <w:sz w:val="16"/>
                <w:szCs w:val="16"/>
              </w:rPr>
              <w:t xml:space="preserve">MV, 0.02 Ry</w:t>
            </w:r>
          </w:p>
        </w:tc>
        <w:tc>
          <w:tcPr>
            <w:tcW w:type="dxa" w:w="3820"/>
            <w:tcMar>
              <w:top w:type="dxa" w:w="62"/>
              <w:left w:type="dxa" w:w="68"/>
              <w:bottom w:type="dxa" w:w="62"/>
              <w:right w:type="dxa" w:w="68"/>
            </w:tcMar>
            <w:vAlign w:val="center"/>
          </w:tcPr>
          <w:p>
            <w:pPr>
              <w:spacing w:after="0"/>
              <w:jc w:val="left"/>
            </w:pPr>
            <w:r>
              <w:rPr>
                <w:b w:val="false"/>
                <w:bCs w:val="false"/>
                <w:color w:val="222222"/>
                <w:sz w:val="16"/>
                <w:szCs w:val="16"/>
              </w:rPr>
              <w:t xml:space="preserve">Stabilizes occupation of closely spaced frontier states during SCF while applying the same treatment to both structures.</w:t>
            </w:r>
          </w:p>
        </w:tc>
        <w:tc>
          <w:tcPr>
            <w:tcW w:type="dxa" w:w="2160"/>
            <w:tcMar>
              <w:top w:type="dxa" w:w="62"/>
              <w:left w:type="dxa" w:w="68"/>
              <w:bottom w:type="dxa" w:w="62"/>
              <w:right w:type="dxa" w:w="68"/>
            </w:tcMar>
            <w:vAlign w:val="center"/>
          </w:tcPr>
          <w:p>
            <w:pPr>
              <w:spacing w:after="0"/>
              <w:jc w:val="left"/>
            </w:pPr>
            <w:r>
              <w:rPr>
                <w:b w:val="false"/>
                <w:bCs w:val="false"/>
                <w:color w:val="222222"/>
                <w:sz w:val="16"/>
                <w:szCs w:val="16"/>
              </w:rPr>
              <w:t xml:space="preserve">The value is a numerical aid, not a physical temperature.</w:t>
            </w:r>
          </w:p>
        </w:tc>
      </w:tr>
      <w:tr>
        <w:tc>
          <w:tcPr>
            <w:tcW w:type="dxa" w:w="1760"/>
            <w:tcMar>
              <w:top w:type="dxa" w:w="62"/>
              <w:left w:type="dxa" w:w="68"/>
              <w:bottom w:type="dxa" w:w="62"/>
              <w:right w:type="dxa" w:w="68"/>
            </w:tcMar>
            <w:vAlign w:val="center"/>
          </w:tcPr>
          <w:p>
            <w:pPr>
              <w:spacing w:after="0"/>
              <w:jc w:val="left"/>
            </w:pPr>
            <w:r>
              <w:rPr>
                <w:b w:val="false"/>
                <w:bCs w:val="false"/>
                <w:color w:val="222222"/>
                <w:sz w:val="16"/>
                <w:szCs w:val="16"/>
              </w:rPr>
              <w:t xml:space="preserve">Mixing</w:t>
            </w:r>
          </w:p>
        </w:tc>
        <w:tc>
          <w:tcPr>
            <w:tcW w:type="dxa" w:w="1620"/>
            <w:tcMar>
              <w:top w:type="dxa" w:w="62"/>
              <w:left w:type="dxa" w:w="68"/>
              <w:bottom w:type="dxa" w:w="62"/>
              <w:right w:type="dxa" w:w="68"/>
            </w:tcMar>
            <w:vAlign w:val="center"/>
          </w:tcPr>
          <w:p>
            <w:pPr>
              <w:spacing w:after="0"/>
              <w:jc w:val="left"/>
            </w:pPr>
            <w:r>
              <w:rPr>
                <w:b w:val="false"/>
                <w:bCs w:val="false"/>
                <w:color w:val="222222"/>
                <w:sz w:val="16"/>
                <w:szCs w:val="16"/>
              </w:rPr>
              <w:t xml:space="preserve">local-TF, β=0.20</w:t>
            </w:r>
          </w:p>
        </w:tc>
        <w:tc>
          <w:tcPr>
            <w:tcW w:type="dxa" w:w="3820"/>
            <w:tcMar>
              <w:top w:type="dxa" w:w="62"/>
              <w:left w:type="dxa" w:w="68"/>
              <w:bottom w:type="dxa" w:w="62"/>
              <w:right w:type="dxa" w:w="68"/>
            </w:tcMar>
            <w:vAlign w:val="center"/>
          </w:tcPr>
          <w:p>
            <w:pPr>
              <w:spacing w:after="0"/>
              <w:jc w:val="left"/>
            </w:pPr>
            <w:r>
              <w:rPr>
                <w:b w:val="false"/>
                <w:bCs w:val="false"/>
                <w:color w:val="222222"/>
                <w:sz w:val="16"/>
                <w:szCs w:val="16"/>
              </w:rPr>
              <w:t xml:space="preserve">This setting converged the Planar system and was retained unchanged for a controlled comparison.</w:t>
            </w:r>
          </w:p>
        </w:tc>
        <w:tc>
          <w:tcPr>
            <w:tcW w:type="dxa" w:w="2160"/>
            <w:tcMar>
              <w:top w:type="dxa" w:w="62"/>
              <w:left w:type="dxa" w:w="68"/>
              <w:bottom w:type="dxa" w:w="62"/>
              <w:right w:type="dxa" w:w="68"/>
            </w:tcMar>
            <w:vAlign w:val="center"/>
          </w:tcPr>
          <w:p>
            <w:pPr>
              <w:spacing w:after="0"/>
              <w:jc w:val="left"/>
            </w:pPr>
            <w:r>
              <w:rPr>
                <w:b w:val="false"/>
                <w:bCs w:val="false"/>
                <w:color w:val="222222"/>
                <w:sz w:val="16"/>
                <w:szCs w:val="16"/>
              </w:rPr>
              <w:t xml:space="preserve">PLDC still required 40 iterations.</w:t>
            </w:r>
          </w:p>
        </w:tc>
      </w:tr>
      <w:tr>
        <w:tc>
          <w:tcPr>
            <w:tcW w:type="dxa" w:w="1760"/>
            <w:tcMar>
              <w:top w:type="dxa" w:w="62"/>
              <w:left w:type="dxa" w:w="68"/>
              <w:bottom w:type="dxa" w:w="62"/>
              <w:right w:type="dxa" w:w="68"/>
            </w:tcMar>
            <w:vAlign w:val="center"/>
          </w:tcPr>
          <w:p>
            <w:pPr>
              <w:spacing w:after="0"/>
              <w:jc w:val="left"/>
            </w:pPr>
            <w:r>
              <w:rPr>
                <w:b w:val="false"/>
                <w:bCs w:val="false"/>
                <w:color w:val="222222"/>
                <w:sz w:val="16"/>
                <w:szCs w:val="16"/>
              </w:rPr>
              <w:t xml:space="preserve">Threshold</w:t>
            </w:r>
          </w:p>
        </w:tc>
        <w:tc>
          <w:tcPr>
            <w:tcW w:type="dxa" w:w="1620"/>
            <w:tcMar>
              <w:top w:type="dxa" w:w="62"/>
              <w:left w:type="dxa" w:w="68"/>
              <w:bottom w:type="dxa" w:w="62"/>
              <w:right w:type="dxa" w:w="68"/>
            </w:tcMar>
            <w:vAlign w:val="center"/>
          </w:tcPr>
          <w:p>
            <w:pPr>
              <w:spacing w:after="0"/>
              <w:jc w:val="left"/>
            </w:pPr>
            <w:r>
              <w:rPr>
                <w:b w:val="false"/>
                <w:bCs w:val="false"/>
                <w:color w:val="222222"/>
                <w:sz w:val="16"/>
                <w:szCs w:val="16"/>
              </w:rPr>
              <w:t xml:space="preserve">1×10⁻⁶ Ry</w:t>
            </w:r>
          </w:p>
        </w:tc>
        <w:tc>
          <w:tcPr>
            <w:tcW w:type="dxa" w:w="3820"/>
            <w:tcMar>
              <w:top w:type="dxa" w:w="62"/>
              <w:left w:type="dxa" w:w="68"/>
              <w:bottom w:type="dxa" w:w="62"/>
              <w:right w:type="dxa" w:w="68"/>
            </w:tcMar>
            <w:vAlign w:val="center"/>
          </w:tcPr>
          <w:p>
            <w:pPr>
              <w:spacing w:after="0"/>
              <w:jc w:val="left"/>
            </w:pPr>
            <w:r>
              <w:rPr>
                <w:b w:val="false"/>
                <w:bCs w:val="false"/>
                <w:color w:val="222222"/>
                <w:sz w:val="16"/>
                <w:szCs w:val="16"/>
              </w:rPr>
              <w:t xml:space="preserve">Provides a tight and consistent electronic convergence criterion for site-shift post-processing.</w:t>
            </w:r>
          </w:p>
        </w:tc>
        <w:tc>
          <w:tcPr>
            <w:tcW w:type="dxa" w:w="2160"/>
            <w:tcMar>
              <w:top w:type="dxa" w:w="62"/>
              <w:left w:type="dxa" w:w="68"/>
              <w:bottom w:type="dxa" w:w="62"/>
              <w:right w:type="dxa" w:w="68"/>
            </w:tcMar>
            <w:vAlign w:val="center"/>
          </w:tcPr>
          <w:p>
            <w:pPr>
              <w:spacing w:after="0"/>
              <w:jc w:val="left"/>
            </w:pPr>
            <w:r>
              <w:rPr>
                <w:b w:val="false"/>
                <w:bCs w:val="false"/>
                <w:color w:val="222222"/>
                <w:sz w:val="16"/>
                <w:szCs w:val="16"/>
              </w:rPr>
              <w:t xml:space="preserve">Stricter thresholds would increase runtime.</w:t>
            </w:r>
          </w:p>
        </w:tc>
      </w:tr>
      <w:tr>
        <w:tc>
          <w:tcPr>
            <w:tcW w:type="dxa" w:w="1760"/>
            <w:tcMar>
              <w:top w:type="dxa" w:w="62"/>
              <w:left w:type="dxa" w:w="68"/>
              <w:bottom w:type="dxa" w:w="62"/>
              <w:right w:type="dxa" w:w="68"/>
            </w:tcMar>
            <w:vAlign w:val="center"/>
          </w:tcPr>
          <w:p>
            <w:pPr>
              <w:spacing w:after="0"/>
              <w:jc w:val="left"/>
            </w:pPr>
            <w:r>
              <w:rPr>
                <w:b w:val="false"/>
                <w:bCs w:val="false"/>
                <w:color w:val="222222"/>
                <w:sz w:val="16"/>
                <w:szCs w:val="16"/>
              </w:rPr>
              <w:t xml:space="preserve">Symmetry</w:t>
            </w:r>
          </w:p>
        </w:tc>
        <w:tc>
          <w:tcPr>
            <w:tcW w:type="dxa" w:w="1620"/>
            <w:tcMar>
              <w:top w:type="dxa" w:w="62"/>
              <w:left w:type="dxa" w:w="68"/>
              <w:bottom w:type="dxa" w:w="62"/>
              <w:right w:type="dxa" w:w="68"/>
            </w:tcMar>
            <w:vAlign w:val="center"/>
          </w:tcPr>
          <w:p>
            <w:pPr>
              <w:spacing w:after="0"/>
              <w:jc w:val="left"/>
            </w:pPr>
            <w:r>
              <w:rPr>
                <w:b w:val="false"/>
                <w:bCs w:val="false"/>
                <w:color w:val="222222"/>
                <w:sz w:val="16"/>
                <w:szCs w:val="16"/>
              </w:rPr>
              <w:t xml:space="preserve">nosym/noinv</w:t>
            </w:r>
          </w:p>
        </w:tc>
        <w:tc>
          <w:tcPr>
            <w:tcW w:type="dxa" w:w="3820"/>
            <w:tcMar>
              <w:top w:type="dxa" w:w="62"/>
              <w:left w:type="dxa" w:w="68"/>
              <w:bottom w:type="dxa" w:w="62"/>
              <w:right w:type="dxa" w:w="68"/>
            </w:tcMar>
            <w:vAlign w:val="center"/>
          </w:tcPr>
          <w:p>
            <w:pPr>
              <w:spacing w:after="0"/>
              <w:jc w:val="left"/>
            </w:pPr>
            <w:r>
              <w:rPr>
                <w:b w:val="false"/>
                <w:bCs w:val="false"/>
                <w:color w:val="222222"/>
                <w:sz w:val="16"/>
                <w:szCs w:val="16"/>
              </w:rPr>
              <w:t xml:space="preserve">Preserves atom-by-atom distinctions and prevents symmetry reduction from merging nominally separate sites.</w:t>
            </w:r>
          </w:p>
        </w:tc>
        <w:tc>
          <w:tcPr>
            <w:tcW w:type="dxa" w:w="2160"/>
            <w:tcMar>
              <w:top w:type="dxa" w:w="62"/>
              <w:left w:type="dxa" w:w="68"/>
              <w:bottom w:type="dxa" w:w="62"/>
              <w:right w:type="dxa" w:w="68"/>
            </w:tcMar>
            <w:vAlign w:val="center"/>
          </w:tcPr>
          <w:p>
            <w:pPr>
              <w:spacing w:after="0"/>
              <w:jc w:val="left"/>
            </w:pPr>
            <w:r>
              <w:rPr>
                <w:b w:val="false"/>
                <w:bCs w:val="false"/>
                <w:color w:val="222222"/>
                <w:sz w:val="16"/>
                <w:szCs w:val="16"/>
              </w:rPr>
              <w:t xml:space="preserve">Increases computational work.</w:t>
            </w:r>
          </w:p>
        </w:tc>
      </w:tr>
      <w:tr>
        <w:tc>
          <w:tcPr>
            <w:tcW w:type="dxa" w:w="1760"/>
            <w:tcMar>
              <w:top w:type="dxa" w:w="62"/>
              <w:left w:type="dxa" w:w="68"/>
              <w:bottom w:type="dxa" w:w="62"/>
              <w:right w:type="dxa" w:w="68"/>
            </w:tcMar>
            <w:vAlign w:val="center"/>
          </w:tcPr>
          <w:p>
            <w:pPr>
              <w:spacing w:after="0"/>
              <w:jc w:val="left"/>
            </w:pPr>
            <w:r>
              <w:rPr>
                <w:b w:val="false"/>
                <w:bCs w:val="false"/>
                <w:color w:val="222222"/>
                <w:sz w:val="16"/>
                <w:szCs w:val="16"/>
              </w:rPr>
              <w:t xml:space="preserve">Broadening</w:t>
            </w:r>
          </w:p>
        </w:tc>
        <w:tc>
          <w:tcPr>
            <w:tcW w:type="dxa" w:w="1620"/>
            <w:tcMar>
              <w:top w:type="dxa" w:w="62"/>
              <w:left w:type="dxa" w:w="68"/>
              <w:bottom w:type="dxa" w:w="62"/>
              <w:right w:type="dxa" w:w="68"/>
            </w:tcMar>
            <w:vAlign w:val="center"/>
          </w:tcPr>
          <w:p>
            <w:pPr>
              <w:spacing w:after="0"/>
              <w:jc w:val="left"/>
            </w:pPr>
            <w:r>
              <w:rPr>
                <w:b w:val="false"/>
                <w:bCs w:val="false"/>
                <w:color w:val="222222"/>
                <w:sz w:val="16"/>
                <w:szCs w:val="16"/>
              </w:rPr>
              <w:t xml:space="preserve">0.35 eV FWHM</w:t>
            </w:r>
          </w:p>
        </w:tc>
        <w:tc>
          <w:tcPr>
            <w:tcW w:type="dxa" w:w="3820"/>
            <w:tcMar>
              <w:top w:type="dxa" w:w="62"/>
              <w:left w:type="dxa" w:w="68"/>
              <w:bottom w:type="dxa" w:w="62"/>
              <w:right w:type="dxa" w:w="68"/>
            </w:tcMar>
            <w:vAlign w:val="center"/>
          </w:tcPr>
          <w:p>
            <w:pPr>
              <w:spacing w:after="0"/>
              <w:jc w:val="left"/>
            </w:pPr>
            <w:r>
              <w:rPr>
                <w:b w:val="false"/>
                <w:bCs w:val="false"/>
                <w:color w:val="222222"/>
                <w:sz w:val="16"/>
                <w:szCs w:val="16"/>
              </w:rPr>
              <w:t xml:space="preserve">Produces a smooth, visually comparable C 1s envelope consistent with the earlier plotting convention.</w:t>
            </w:r>
          </w:p>
        </w:tc>
        <w:tc>
          <w:tcPr>
            <w:tcW w:type="dxa" w:w="2160"/>
            <w:tcMar>
              <w:top w:type="dxa" w:w="62"/>
              <w:left w:type="dxa" w:w="68"/>
              <w:bottom w:type="dxa" w:w="62"/>
              <w:right w:type="dxa" w:w="68"/>
            </w:tcMar>
            <w:vAlign w:val="center"/>
          </w:tcPr>
          <w:p>
            <w:pPr>
              <w:spacing w:after="0"/>
              <w:jc w:val="left"/>
            </w:pPr>
            <w:r>
              <w:rPr>
                <w:b w:val="false"/>
                <w:bCs w:val="false"/>
                <w:color w:val="222222"/>
                <w:sz w:val="16"/>
                <w:szCs w:val="16"/>
              </w:rPr>
              <w:t xml:space="preserve">Post-processing only; not calculated lifetime broadening.</w:t>
            </w:r>
          </w:p>
        </w:tc>
      </w:tr>
    </w:tbl>
    <w:p>
      <w:r>
        <w:br w:type="page"/>
      </w:r>
    </w:p>
    <w:p>
      <w:pPr>
        <w:pStyle w:val="Heading1"/>
        <w:spacing w:after="75" w:before="190"/>
      </w:pPr>
      <w:r>
        <w:t xml:space="preserve">6. Convergence behavior and elapsed time</w:t>
      </w:r>
    </w:p>
    <w:tbl>
      <w:tblPr>
        <w:tblW w:type="dxa" w:w="9360"/>
        <w:tblBorders>
          <w:top w:val="single" w:color="B7C3D0" w:sz="4"/>
          <w:left w:val="single" w:color="B7C3D0" w:sz="4"/>
          <w:bottom w:val="single" w:color="B7C3D0" w:sz="4"/>
          <w:right w:val="single" w:color="B7C3D0" w:sz="4"/>
          <w:insideH w:val="single" w:color="D9E0E7" w:sz="3"/>
          <w:insideV w:val="single" w:color="D9E0E7" w:sz="3"/>
        </w:tblBorders>
      </w:tblPr>
      <w:tblGrid>
        <w:gridCol w:w="2450"/>
        <w:gridCol w:w="6910"/>
      </w:tblGrid>
      <w:tr>
        <w:tc>
          <w:tcPr>
            <w:tcW w:type="dxa" w:w="2450"/>
            <w:shd w:fill="DDEAF5" w:val="clear"/>
            <w:tcMar>
              <w:top w:type="dxa" w:w="62"/>
              <w:left w:type="dxa" w:w="72"/>
              <w:bottom w:type="dxa" w:w="62"/>
              <w:right w:type="dxa" w:w="72"/>
            </w:tcMar>
          </w:tcPr>
          <w:p>
            <w:pPr>
              <w:spacing w:after="0"/>
            </w:pPr>
            <w:r>
              <w:rPr>
                <w:b/>
                <w:bCs/>
                <w:color w:val="17365D"/>
                <w:sz w:val="17"/>
                <w:szCs w:val="17"/>
              </w:rPr>
              <w:t xml:space="preserve">Planar system</w:t>
            </w:r>
          </w:p>
        </w:tc>
        <w:tc>
          <w:tcPr>
            <w:tcW w:type="dxa" w:w="6910"/>
            <w:shd w:fill="F8FAFC" w:val="clear"/>
            <w:tcMar>
              <w:top w:type="dxa" w:w="62"/>
              <w:left w:type="dxa" w:w="72"/>
              <w:bottom w:type="dxa" w:w="62"/>
              <w:right w:type="dxa" w:w="72"/>
            </w:tcMar>
          </w:tcPr>
          <w:p>
            <w:pPr>
              <w:spacing w:after="0"/>
            </w:pPr>
            <w:r>
              <w:rPr>
                <w:sz w:val="17"/>
                <w:szCs w:val="17"/>
              </w:rPr>
              <w:t xml:space="preserve">77 atoms, 236 electrons, 142 Kohn–Sham states</w:t>
            </w:r>
          </w:p>
        </w:tc>
      </w:tr>
      <w:tr>
        <w:tc>
          <w:tcPr>
            <w:tcW w:type="dxa" w:w="2450"/>
            <w:shd w:fill="EDF3F8" w:val="clear"/>
            <w:tcMar>
              <w:top w:type="dxa" w:w="62"/>
              <w:left w:type="dxa" w:w="72"/>
              <w:bottom w:type="dxa" w:w="62"/>
              <w:right w:type="dxa" w:w="72"/>
            </w:tcMar>
          </w:tcPr>
          <w:p>
            <w:pPr>
              <w:spacing w:after="0"/>
            </w:pPr>
            <w:r>
              <w:rPr>
                <w:b/>
                <w:bCs/>
                <w:color w:val="17365D"/>
                <w:sz w:val="17"/>
                <w:szCs w:val="17"/>
              </w:rPr>
              <w:t xml:space="preserve">PLDC–COOH system</w:t>
            </w:r>
          </w:p>
        </w:tc>
        <w:tc>
          <w:tcPr>
            <w:tcW w:type="dxa" w:w="6910"/>
            <w:shd w:fill="FFFFFF" w:val="clear"/>
            <w:tcMar>
              <w:top w:type="dxa" w:w="62"/>
              <w:left w:type="dxa" w:w="72"/>
              <w:bottom w:type="dxa" w:w="62"/>
              <w:right w:type="dxa" w:w="72"/>
            </w:tcMar>
          </w:tcPr>
          <w:p>
            <w:pPr>
              <w:spacing w:after="0"/>
            </w:pPr>
            <w:r>
              <w:rPr>
                <w:sz w:val="17"/>
                <w:szCs w:val="17"/>
              </w:rPr>
              <w:t xml:space="preserve">83 atoms, 268 electrons, 161 Kohn–Sham states</w:t>
            </w:r>
          </w:p>
        </w:tc>
      </w:tr>
      <w:tr>
        <w:tc>
          <w:tcPr>
            <w:tcW w:type="dxa" w:w="2450"/>
            <w:shd w:fill="DDEAF5" w:val="clear"/>
            <w:tcMar>
              <w:top w:type="dxa" w:w="62"/>
              <w:left w:type="dxa" w:w="72"/>
              <w:bottom w:type="dxa" w:w="62"/>
              <w:right w:type="dxa" w:w="72"/>
            </w:tcMar>
          </w:tcPr>
          <w:p>
            <w:pPr>
              <w:spacing w:after="0"/>
            </w:pPr>
            <w:r>
              <w:rPr>
                <w:b/>
                <w:bCs/>
                <w:color w:val="17365D"/>
                <w:sz w:val="17"/>
                <w:szCs w:val="17"/>
              </w:rPr>
              <w:t xml:space="preserve">Planar SCF</w:t>
            </w:r>
          </w:p>
        </w:tc>
        <w:tc>
          <w:tcPr>
            <w:tcW w:type="dxa" w:w="6910"/>
            <w:shd w:fill="F8FAFC" w:val="clear"/>
            <w:tcMar>
              <w:top w:type="dxa" w:w="62"/>
              <w:left w:type="dxa" w:w="72"/>
              <w:bottom w:type="dxa" w:w="62"/>
              <w:right w:type="dxa" w:w="72"/>
            </w:tcMar>
          </w:tcPr>
          <w:p>
            <w:pPr>
              <w:spacing w:after="0"/>
            </w:pPr>
            <w:r>
              <w:rPr>
                <w:sz w:val="17"/>
                <w:szCs w:val="17"/>
              </w:rPr>
              <w:t xml:space="preserve">32 iterations; final energy −739.91431933 Ry; 15 min 05 s wall</w:t>
            </w:r>
          </w:p>
        </w:tc>
      </w:tr>
      <w:tr>
        <w:tc>
          <w:tcPr>
            <w:tcW w:type="dxa" w:w="2450"/>
            <w:shd w:fill="EDF3F8" w:val="clear"/>
            <w:tcMar>
              <w:top w:type="dxa" w:w="62"/>
              <w:left w:type="dxa" w:w="72"/>
              <w:bottom w:type="dxa" w:w="62"/>
              <w:right w:type="dxa" w:w="72"/>
            </w:tcMar>
          </w:tcPr>
          <w:p>
            <w:pPr>
              <w:spacing w:after="0"/>
            </w:pPr>
            <w:r>
              <w:rPr>
                <w:b/>
                <w:bCs/>
                <w:color w:val="17365D"/>
                <w:sz w:val="17"/>
                <w:szCs w:val="17"/>
              </w:rPr>
              <w:t xml:space="preserve">Planar initial_state.x</w:t>
            </w:r>
          </w:p>
        </w:tc>
        <w:tc>
          <w:tcPr>
            <w:tcW w:type="dxa" w:w="6910"/>
            <w:shd w:fill="FFFFFF" w:val="clear"/>
            <w:tcMar>
              <w:top w:type="dxa" w:w="62"/>
              <w:left w:type="dxa" w:w="72"/>
              <w:bottom w:type="dxa" w:w="62"/>
              <w:right w:type="dxa" w:w="72"/>
            </w:tcMar>
          </w:tcPr>
          <w:p>
            <w:pPr>
              <w:spacing w:after="0"/>
            </w:pPr>
            <w:r>
              <w:rPr>
                <w:sz w:val="17"/>
                <w:szCs w:val="17"/>
              </w:rPr>
              <w:t xml:space="preserve">13.14 s wall</w:t>
            </w:r>
          </w:p>
        </w:tc>
      </w:tr>
      <w:tr>
        <w:tc>
          <w:tcPr>
            <w:tcW w:type="dxa" w:w="2450"/>
            <w:shd w:fill="DDEAF5" w:val="clear"/>
            <w:tcMar>
              <w:top w:type="dxa" w:w="62"/>
              <w:left w:type="dxa" w:w="72"/>
              <w:bottom w:type="dxa" w:w="62"/>
              <w:right w:type="dxa" w:w="72"/>
            </w:tcMar>
          </w:tcPr>
          <w:p>
            <w:pPr>
              <w:spacing w:after="0"/>
            </w:pPr>
            <w:r>
              <w:rPr>
                <w:b/>
                <w:bCs/>
                <w:color w:val="17365D"/>
                <w:sz w:val="17"/>
                <w:szCs w:val="17"/>
              </w:rPr>
              <w:t xml:space="preserve">PLDC–COOH SCF</w:t>
            </w:r>
          </w:p>
        </w:tc>
        <w:tc>
          <w:tcPr>
            <w:tcW w:type="dxa" w:w="6910"/>
            <w:shd w:fill="F8FAFC" w:val="clear"/>
            <w:tcMar>
              <w:top w:type="dxa" w:w="62"/>
              <w:left w:type="dxa" w:w="72"/>
              <w:bottom w:type="dxa" w:w="62"/>
              <w:right w:type="dxa" w:w="72"/>
            </w:tcMar>
          </w:tcPr>
          <w:p>
            <w:pPr>
              <w:spacing w:after="0"/>
            </w:pPr>
            <w:r>
              <w:rPr>
                <w:sz w:val="17"/>
                <w:szCs w:val="17"/>
              </w:rPr>
              <w:t xml:space="preserve">40 iterations; final energy −890.04265055 Ry; estimated accuracy 5.6×10⁻⁷ Ry</w:t>
            </w:r>
          </w:p>
        </w:tc>
      </w:tr>
      <w:tr>
        <w:tc>
          <w:tcPr>
            <w:tcW w:type="dxa" w:w="2450"/>
            <w:shd w:fill="EDF3F8" w:val="clear"/>
            <w:tcMar>
              <w:top w:type="dxa" w:w="62"/>
              <w:left w:type="dxa" w:w="72"/>
              <w:bottom w:type="dxa" w:w="62"/>
              <w:right w:type="dxa" w:w="72"/>
            </w:tcMar>
          </w:tcPr>
          <w:p>
            <w:pPr>
              <w:spacing w:after="0"/>
            </w:pPr>
            <w:r>
              <w:rPr>
                <w:b/>
                <w:bCs/>
                <w:color w:val="17365D"/>
                <w:sz w:val="17"/>
                <w:szCs w:val="17"/>
              </w:rPr>
              <w:t xml:space="preserve">PLDC–COOH initial_state.x</w:t>
            </w:r>
          </w:p>
        </w:tc>
        <w:tc>
          <w:tcPr>
            <w:tcW w:type="dxa" w:w="6910"/>
            <w:shd w:fill="FFFFFF" w:val="clear"/>
            <w:tcMar>
              <w:top w:type="dxa" w:w="62"/>
              <w:left w:type="dxa" w:w="72"/>
              <w:bottom w:type="dxa" w:w="62"/>
              <w:right w:type="dxa" w:w="72"/>
            </w:tcMar>
          </w:tcPr>
          <w:p>
            <w:pPr>
              <w:spacing w:after="0"/>
            </w:pPr>
            <w:r>
              <w:rPr>
                <w:sz w:val="17"/>
                <w:szCs w:val="17"/>
              </w:rPr>
              <w:t xml:space="preserve">1 min 06 s wall</w:t>
            </w:r>
          </w:p>
        </w:tc>
      </w:tr>
      <w:tr>
        <w:tc>
          <w:tcPr>
            <w:tcW w:type="dxa" w:w="2450"/>
            <w:shd w:fill="DDEAF5" w:val="clear"/>
            <w:tcMar>
              <w:top w:type="dxa" w:w="62"/>
              <w:left w:type="dxa" w:w="72"/>
              <w:bottom w:type="dxa" w:w="62"/>
              <w:right w:type="dxa" w:w="72"/>
            </w:tcMar>
          </w:tcPr>
          <w:p>
            <w:pPr>
              <w:spacing w:after="0"/>
            </w:pPr>
            <w:r>
              <w:rPr>
                <w:b/>
                <w:bCs/>
                <w:color w:val="17365D"/>
                <w:sz w:val="17"/>
                <w:szCs w:val="17"/>
              </w:rPr>
              <w:t xml:space="preserve">PLDC total analyzed workflow</w:t>
            </w:r>
          </w:p>
        </w:tc>
        <w:tc>
          <w:tcPr>
            <w:tcW w:type="dxa" w:w="6910"/>
            <w:shd w:fill="F8FAFC" w:val="clear"/>
            <w:tcMar>
              <w:top w:type="dxa" w:w="62"/>
              <w:left w:type="dxa" w:w="72"/>
              <w:bottom w:type="dxa" w:w="62"/>
              <w:right w:type="dxa" w:w="72"/>
            </w:tcMar>
          </w:tcPr>
          <w:p>
            <w:pPr>
              <w:spacing w:after="0"/>
            </w:pPr>
            <w:r>
              <w:rPr>
                <w:sz w:val="17"/>
                <w:szCs w:val="17"/>
              </w:rPr>
              <w:t xml:space="preserve">Approximately 1 h 39 min for SCF plus initial_state.x</w:t>
            </w:r>
          </w:p>
        </w:tc>
      </w:tr>
      <w:tr>
        <w:tc>
          <w:tcPr>
            <w:tcW w:type="dxa" w:w="2450"/>
            <w:shd w:fill="EDF3F8" w:val="clear"/>
            <w:tcMar>
              <w:top w:type="dxa" w:w="62"/>
              <w:left w:type="dxa" w:w="72"/>
              <w:bottom w:type="dxa" w:w="62"/>
              <w:right w:type="dxa" w:w="72"/>
            </w:tcMar>
          </w:tcPr>
          <w:p>
            <w:pPr>
              <w:spacing w:after="0"/>
            </w:pPr>
            <w:r>
              <w:rPr>
                <w:b/>
                <w:bCs/>
                <w:color w:val="17365D"/>
                <w:sz w:val="17"/>
                <w:szCs w:val="17"/>
              </w:rPr>
              <w:t xml:space="preserve">Parallel execution</w:t>
            </w:r>
          </w:p>
        </w:tc>
        <w:tc>
          <w:tcPr>
            <w:tcW w:type="dxa" w:w="6910"/>
            <w:shd w:fill="FFFFFF" w:val="clear"/>
            <w:tcMar>
              <w:top w:type="dxa" w:w="62"/>
              <w:left w:type="dxa" w:w="72"/>
              <w:bottom w:type="dxa" w:w="62"/>
              <w:right w:type="dxa" w:w="72"/>
            </w:tcMar>
          </w:tcPr>
          <w:p>
            <w:pPr>
              <w:spacing w:after="0"/>
            </w:pPr>
            <w:r>
              <w:rPr>
                <w:sz w:val="17"/>
                <w:szCs w:val="17"/>
              </w:rPr>
              <w:t xml:space="preserve">4 MPI processes on the local laptop</w:t>
            </w:r>
          </w:p>
        </w:tc>
      </w:tr>
    </w:tbl>
    <w:p>
      <w:pPr>
        <w:pStyle w:val="Heading2"/>
        <w:spacing w:after="75" w:before="135"/>
      </w:pPr>
      <w:r>
        <w:t xml:space="preserve">Why PLDC took longer</w:t>
      </w:r>
    </w:p>
    <w:p>
      <w:pPr>
        <w:keepNext w:val="false"/>
        <w:spacing w:after="105" w:line="276"/>
        <w:jc w:val="left"/>
      </w:pPr>
      <w:r>
        <w:rPr>
          <w:b w:val="false"/>
          <w:bCs w:val="false"/>
          <w:i w:val="false"/>
          <w:iCs w:val="false"/>
          <w:sz w:val="20"/>
          <w:szCs w:val="20"/>
        </w:rPr>
        <w:t xml:space="preserve">PLDC–COOH has six additional atoms, 32 additional valence electrons, and 19 additional Kohn–Sham states. Oxygen introduces additional occupied states and ultrasoft augmentation work. Several frontier eigenvalues also required extra Davidson iterations late in the SCF cycle. Together these effects increased the wall time from about 15 minutes for Planar to 1 hour 38 minutes for PLDC–COOH.</w:t>
      </w:r>
    </w:p>
    <w:p>
      <w:pPr>
        <w:pStyle w:val="Heading2"/>
        <w:spacing w:after="75" w:before="135"/>
      </w:pPr>
      <w:r>
        <w:t xml:space="preserve">Convergence evidence</w:t>
      </w:r>
    </w:p>
    <w:p>
      <w:pPr>
        <w:keepNext w:val="false"/>
        <w:spacing w:after="105" w:line="276"/>
        <w:jc w:val="left"/>
      </w:pPr>
      <w:r>
        <w:rPr>
          <w:b w:val="false"/>
          <w:bCs w:val="false"/>
          <w:i w:val="false"/>
          <w:iCs w:val="false"/>
          <w:sz w:val="20"/>
          <w:szCs w:val="20"/>
        </w:rPr>
        <w:t xml:space="preserve">Planar reached the requested 1×10⁻⁶ Ry SCF criterion after 32 iterations. PLDC–COOH required 40 iterations and finished with an estimated SCF accuracy of 5.6×10⁻⁷ Ry. Both outputs ended with “convergence has been achieved” and “JOB DONE.” The longer PLDC run was retained in full, including its 424 MB restart directory.</w:t>
      </w:r>
    </w:p>
    <w:p>
      <w:r>
        <w:br w:type="page"/>
      </w:r>
    </w:p>
    <w:p>
      <w:pPr>
        <w:pStyle w:val="Heading1"/>
        <w:spacing w:after="75" w:before="190"/>
      </w:pPr>
      <w:r>
        <w:t xml:space="preserve">7. Numerical core-level-shift results</w:t>
      </w:r>
    </w:p>
    <w:p>
      <w:pPr>
        <w:keepNext w:val="false"/>
        <w:spacing w:after="105" w:line="276"/>
        <w:jc w:val="left"/>
      </w:pPr>
      <w:r>
        <w:rPr>
          <w:b w:val="false"/>
          <w:bCs w:val="false"/>
          <w:i w:val="false"/>
          <w:iCs w:val="false"/>
          <w:sz w:val="20"/>
          <w:szCs w:val="20"/>
        </w:rPr>
        <w:t xml:space="preserve">Table 3 reports group means and standard deviations in eV. Δ mean is PLDC–COOH minus Planar. All values use the same group definition and the molecule-specific mean(C_b+C_w) reference.</w:t>
      </w:r>
    </w:p>
    <w:tbl>
      <w:tblPr>
        <w:tblW w:type="dxa" w:w="9360"/>
        <w:tblBorders>
          <w:top w:val="single" w:color="B7C3D0" w:sz="4"/>
          <w:left w:val="single" w:color="B7C3D0" w:sz="4"/>
          <w:bottom w:val="single" w:color="B7C3D0" w:sz="4"/>
          <w:right w:val="single" w:color="B7C3D0" w:sz="4"/>
          <w:insideH w:val="single" w:color="D9E0E7" w:sz="3"/>
          <w:insideV w:val="single" w:color="D9E0E7" w:sz="3"/>
        </w:tblBorders>
      </w:tblPr>
      <w:tblGrid>
        <w:gridCol w:w="1280"/>
        <w:gridCol w:w="920"/>
        <w:gridCol w:w="1280"/>
        <w:gridCol w:w="1280"/>
        <w:gridCol w:w="920"/>
        <w:gridCol w:w="1280"/>
        <w:gridCol w:w="1280"/>
        <w:gridCol w:w="1120"/>
      </w:tblGrid>
      <w:tr>
        <w:trPr>
          <w:tblHeader/>
        </w:trPr>
        <w:tc>
          <w:tcPr>
            <w:tcW w:type="dxa" w:w="1280"/>
            <w:shd w:fill="17365D" w:val="clear"/>
            <w:tcMar>
              <w:top w:type="dxa" w:w="62"/>
              <w:left w:type="dxa" w:w="68"/>
              <w:bottom w:type="dxa" w:w="62"/>
              <w:right w:type="dxa" w:w="68"/>
            </w:tcMar>
            <w:vAlign w:val="center"/>
          </w:tcPr>
          <w:p>
            <w:pPr>
              <w:spacing w:after="0"/>
              <w:jc w:val="left"/>
            </w:pPr>
            <w:r>
              <w:rPr>
                <w:b/>
                <w:bCs/>
                <w:color w:val="FFFFFF"/>
                <w:sz w:val="17"/>
                <w:szCs w:val="17"/>
              </w:rPr>
              <w:t xml:space="preserve">Group</w:t>
            </w:r>
          </w:p>
        </w:tc>
        <w:tc>
          <w:tcPr>
            <w:tcW w:type="dxa" w:w="920"/>
            <w:shd w:fill="17365D" w:val="clear"/>
            <w:tcMar>
              <w:top w:type="dxa" w:w="62"/>
              <w:left w:type="dxa" w:w="68"/>
              <w:bottom w:type="dxa" w:w="62"/>
              <w:right w:type="dxa" w:w="68"/>
            </w:tcMar>
            <w:vAlign w:val="center"/>
          </w:tcPr>
          <w:p>
            <w:pPr>
              <w:spacing w:after="0"/>
              <w:jc w:val="center"/>
            </w:pPr>
            <w:r>
              <w:rPr>
                <w:b/>
                <w:bCs/>
                <w:color w:val="FFFFFF"/>
                <w:sz w:val="17"/>
                <w:szCs w:val="17"/>
              </w:rPr>
              <w:t xml:space="preserve">n P</w:t>
            </w:r>
          </w:p>
        </w:tc>
        <w:tc>
          <w:tcPr>
            <w:tcW w:type="dxa" w:w="1280"/>
            <w:shd w:fill="17365D" w:val="clear"/>
            <w:tcMar>
              <w:top w:type="dxa" w:w="62"/>
              <w:left w:type="dxa" w:w="68"/>
              <w:bottom w:type="dxa" w:w="62"/>
              <w:right w:type="dxa" w:w="68"/>
            </w:tcMar>
            <w:vAlign w:val="center"/>
          </w:tcPr>
          <w:p>
            <w:pPr>
              <w:spacing w:after="0"/>
              <w:jc w:val="center"/>
            </w:pPr>
            <w:r>
              <w:rPr>
                <w:b/>
                <w:bCs/>
                <w:color w:val="FFFFFF"/>
                <w:sz w:val="17"/>
                <w:szCs w:val="17"/>
              </w:rPr>
              <w:t xml:space="preserve">Planar mean</w:t>
            </w:r>
          </w:p>
        </w:tc>
        <w:tc>
          <w:tcPr>
            <w:tcW w:type="dxa" w:w="1280"/>
            <w:shd w:fill="17365D" w:val="clear"/>
            <w:tcMar>
              <w:top w:type="dxa" w:w="62"/>
              <w:left w:type="dxa" w:w="68"/>
              <w:bottom w:type="dxa" w:w="62"/>
              <w:right w:type="dxa" w:w="68"/>
            </w:tcMar>
            <w:vAlign w:val="center"/>
          </w:tcPr>
          <w:p>
            <w:pPr>
              <w:spacing w:after="0"/>
              <w:jc w:val="center"/>
            </w:pPr>
            <w:r>
              <w:rPr>
                <w:b/>
                <w:bCs/>
                <w:color w:val="FFFFFF"/>
                <w:sz w:val="17"/>
                <w:szCs w:val="17"/>
              </w:rPr>
              <w:t xml:space="preserve">Planar σ</w:t>
            </w:r>
          </w:p>
        </w:tc>
        <w:tc>
          <w:tcPr>
            <w:tcW w:type="dxa" w:w="920"/>
            <w:shd w:fill="17365D" w:val="clear"/>
            <w:tcMar>
              <w:top w:type="dxa" w:w="62"/>
              <w:left w:type="dxa" w:w="68"/>
              <w:bottom w:type="dxa" w:w="62"/>
              <w:right w:type="dxa" w:w="68"/>
            </w:tcMar>
            <w:vAlign w:val="center"/>
          </w:tcPr>
          <w:p>
            <w:pPr>
              <w:spacing w:after="0"/>
              <w:jc w:val="center"/>
            </w:pPr>
            <w:r>
              <w:rPr>
                <w:b/>
                <w:bCs/>
                <w:color w:val="FFFFFF"/>
                <w:sz w:val="17"/>
                <w:szCs w:val="17"/>
              </w:rPr>
              <w:t xml:space="preserve">n D</w:t>
            </w:r>
          </w:p>
        </w:tc>
        <w:tc>
          <w:tcPr>
            <w:tcW w:type="dxa" w:w="1280"/>
            <w:shd w:fill="17365D" w:val="clear"/>
            <w:tcMar>
              <w:top w:type="dxa" w:w="62"/>
              <w:left w:type="dxa" w:w="68"/>
              <w:bottom w:type="dxa" w:w="62"/>
              <w:right w:type="dxa" w:w="68"/>
            </w:tcMar>
            <w:vAlign w:val="center"/>
          </w:tcPr>
          <w:p>
            <w:pPr>
              <w:spacing w:after="0"/>
              <w:jc w:val="center"/>
            </w:pPr>
            <w:r>
              <w:rPr>
                <w:b/>
                <w:bCs/>
                <w:color w:val="FFFFFF"/>
                <w:sz w:val="17"/>
                <w:szCs w:val="17"/>
              </w:rPr>
              <w:t xml:space="preserve">PLDC mean</w:t>
            </w:r>
          </w:p>
        </w:tc>
        <w:tc>
          <w:tcPr>
            <w:tcW w:type="dxa" w:w="1280"/>
            <w:shd w:fill="17365D" w:val="clear"/>
            <w:tcMar>
              <w:top w:type="dxa" w:w="62"/>
              <w:left w:type="dxa" w:w="68"/>
              <w:bottom w:type="dxa" w:w="62"/>
              <w:right w:type="dxa" w:w="68"/>
            </w:tcMar>
            <w:vAlign w:val="center"/>
          </w:tcPr>
          <w:p>
            <w:pPr>
              <w:spacing w:after="0"/>
              <w:jc w:val="center"/>
            </w:pPr>
            <w:r>
              <w:rPr>
                <w:b/>
                <w:bCs/>
                <w:color w:val="FFFFFF"/>
                <w:sz w:val="17"/>
                <w:szCs w:val="17"/>
              </w:rPr>
              <w:t xml:space="preserve">PLDC σ</w:t>
            </w:r>
          </w:p>
        </w:tc>
        <w:tc>
          <w:tcPr>
            <w:tcW w:type="dxa" w:w="1120"/>
            <w:shd w:fill="17365D" w:val="clear"/>
            <w:tcMar>
              <w:top w:type="dxa" w:w="62"/>
              <w:left w:type="dxa" w:w="68"/>
              <w:bottom w:type="dxa" w:w="62"/>
              <w:right w:type="dxa" w:w="68"/>
            </w:tcMar>
            <w:vAlign w:val="center"/>
          </w:tcPr>
          <w:p>
            <w:pPr>
              <w:spacing w:after="0"/>
              <w:jc w:val="center"/>
            </w:pPr>
            <w:r>
              <w:rPr>
                <w:b/>
                <w:bCs/>
                <w:color w:val="FFFFFF"/>
                <w:sz w:val="17"/>
                <w:szCs w:val="17"/>
              </w:rPr>
              <w:t xml:space="preserve">Δ mean</w:t>
            </w:r>
          </w:p>
        </w:tc>
      </w:tr>
      <w:tr>
        <w:tc>
          <w:tcPr>
            <w:tcW w:type="dxa" w:w="1280"/>
            <w:tcMar>
              <w:top w:type="dxa" w:w="62"/>
              <w:left w:type="dxa" w:w="68"/>
              <w:bottom w:type="dxa" w:w="62"/>
              <w:right w:type="dxa" w:w="68"/>
            </w:tcMar>
            <w:vAlign w:val="center"/>
          </w:tcPr>
          <w:p>
            <w:pPr>
              <w:spacing w:after="0"/>
              <w:jc w:val="left"/>
            </w:pPr>
            <w:r>
              <w:rPr>
                <w:b w:val="false"/>
                <w:bCs w:val="false"/>
                <w:color w:val="222222"/>
                <w:sz w:val="17"/>
                <w:szCs w:val="17"/>
              </w:rPr>
              <w:t xml:space="preserve">C_L,alpha</w:t>
            </w:r>
          </w:p>
        </w:tc>
        <w:tc>
          <w:tcPr>
            <w:tcW w:type="dxa" w:w="920"/>
            <w:tcMar>
              <w:top w:type="dxa" w:w="62"/>
              <w:left w:type="dxa" w:w="68"/>
              <w:bottom w:type="dxa" w:w="62"/>
              <w:right w:type="dxa" w:w="68"/>
            </w:tcMar>
            <w:vAlign w:val="center"/>
          </w:tcPr>
          <w:p>
            <w:pPr>
              <w:spacing w:after="0"/>
              <w:jc w:val="center"/>
            </w:pPr>
            <w:r>
              <w:rPr>
                <w:b w:val="false"/>
                <w:bCs w:val="false"/>
                <w:color w:val="222222"/>
                <w:sz w:val="17"/>
                <w:szCs w:val="17"/>
              </w:rPr>
              <w:t xml:space="preserve">4</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-0.791</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0.010</w:t>
            </w:r>
          </w:p>
        </w:tc>
        <w:tc>
          <w:tcPr>
            <w:tcW w:type="dxa" w:w="920"/>
            <w:tcMar>
              <w:top w:type="dxa" w:w="62"/>
              <w:left w:type="dxa" w:w="68"/>
              <w:bottom w:type="dxa" w:w="62"/>
              <w:right w:type="dxa" w:w="68"/>
            </w:tcMar>
            <w:vAlign w:val="center"/>
          </w:tcPr>
          <w:p>
            <w:pPr>
              <w:spacing w:after="0"/>
              <w:jc w:val="center"/>
            </w:pPr>
            <w:r>
              <w:rPr>
                <w:b w:val="false"/>
                <w:bCs w:val="false"/>
                <w:color w:val="222222"/>
                <w:sz w:val="17"/>
                <w:szCs w:val="17"/>
              </w:rPr>
              <w:t xml:space="preserve">4</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-0.870</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0.167</w:t>
            </w:r>
          </w:p>
        </w:tc>
        <w:tc>
          <w:tcPr>
            <w:tcW w:type="dxa" w:w="1120"/>
            <w:tcMar>
              <w:top w:type="dxa" w:w="62"/>
              <w:left w:type="dxa" w:w="68"/>
              <w:bottom w:type="dxa" w:w="62"/>
              <w:right w:type="dxa" w:w="68"/>
            </w:tcMar>
            <w:vAlign w:val="center"/>
          </w:tcPr>
          <w:p>
            <w:pPr>
              <w:spacing w:after="0"/>
              <w:jc w:val="center"/>
            </w:pPr>
            <w:r>
              <w:rPr>
                <w:b w:val="false"/>
                <w:bCs w:val="false"/>
                <w:color w:val="222222"/>
                <w:sz w:val="17"/>
                <w:szCs w:val="17"/>
              </w:rPr>
              <w:t xml:space="preserve">-0.079</w:t>
            </w:r>
          </w:p>
        </w:tc>
      </w:tr>
      <w:tr>
        <w:tc>
          <w:tcPr>
            <w:tcW w:type="dxa" w:w="1280"/>
            <w:tcMar>
              <w:top w:type="dxa" w:w="62"/>
              <w:left w:type="dxa" w:w="68"/>
              <w:bottom w:type="dxa" w:w="62"/>
              <w:right w:type="dxa" w:w="68"/>
            </w:tcMar>
            <w:vAlign w:val="center"/>
          </w:tcPr>
          <w:p>
            <w:pPr>
              <w:spacing w:after="0"/>
              <w:jc w:val="left"/>
            </w:pPr>
            <w:r>
              <w:rPr>
                <w:b w:val="false"/>
                <w:bCs w:val="false"/>
                <w:color w:val="222222"/>
                <w:sz w:val="17"/>
                <w:szCs w:val="17"/>
              </w:rPr>
              <w:t xml:space="preserve">C_alpha</w:t>
            </w:r>
          </w:p>
        </w:tc>
        <w:tc>
          <w:tcPr>
            <w:tcW w:type="dxa" w:w="920"/>
            <w:tcMar>
              <w:top w:type="dxa" w:w="62"/>
              <w:left w:type="dxa" w:w="68"/>
              <w:bottom w:type="dxa" w:w="62"/>
              <w:right w:type="dxa" w:w="68"/>
            </w:tcMar>
            <w:vAlign w:val="center"/>
          </w:tcPr>
          <w:p>
            <w:pPr>
              <w:spacing w:after="0"/>
              <w:jc w:val="center"/>
            </w:pPr>
            <w:r>
              <w:rPr>
                <w:b w:val="false"/>
                <w:bCs w:val="false"/>
                <w:color w:val="222222"/>
                <w:sz w:val="17"/>
                <w:szCs w:val="17"/>
              </w:rPr>
              <w:t xml:space="preserve">4</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-0.788</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0.011</w:t>
            </w:r>
          </w:p>
        </w:tc>
        <w:tc>
          <w:tcPr>
            <w:tcW w:type="dxa" w:w="920"/>
            <w:tcMar>
              <w:top w:type="dxa" w:w="62"/>
              <w:left w:type="dxa" w:w="68"/>
              <w:bottom w:type="dxa" w:w="62"/>
              <w:right w:type="dxa" w:w="68"/>
            </w:tcMar>
            <w:vAlign w:val="center"/>
          </w:tcPr>
          <w:p>
            <w:pPr>
              <w:spacing w:after="0"/>
              <w:jc w:val="center"/>
            </w:pPr>
            <w:r>
              <w:rPr>
                <w:b w:val="false"/>
                <w:bCs w:val="false"/>
                <w:color w:val="222222"/>
                <w:sz w:val="17"/>
                <w:szCs w:val="17"/>
              </w:rPr>
              <w:t xml:space="preserve">4</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-0.899</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0.200</w:t>
            </w:r>
          </w:p>
        </w:tc>
        <w:tc>
          <w:tcPr>
            <w:tcW w:type="dxa" w:w="1120"/>
            <w:tcMar>
              <w:top w:type="dxa" w:w="62"/>
              <w:left w:type="dxa" w:w="68"/>
              <w:bottom w:type="dxa" w:w="62"/>
              <w:right w:type="dxa" w:w="68"/>
            </w:tcMar>
            <w:vAlign w:val="center"/>
          </w:tcPr>
          <w:p>
            <w:pPr>
              <w:spacing w:after="0"/>
              <w:jc w:val="center"/>
            </w:pPr>
            <w:r>
              <w:rPr>
                <w:b w:val="false"/>
                <w:bCs w:val="false"/>
                <w:color w:val="222222"/>
                <w:sz w:val="17"/>
                <w:szCs w:val="17"/>
              </w:rPr>
              <w:t xml:space="preserve">-0.111</w:t>
            </w:r>
          </w:p>
        </w:tc>
      </w:tr>
      <w:tr>
        <w:tc>
          <w:tcPr>
            <w:tcW w:type="dxa" w:w="1280"/>
            <w:tcMar>
              <w:top w:type="dxa" w:w="62"/>
              <w:left w:type="dxa" w:w="68"/>
              <w:bottom w:type="dxa" w:w="62"/>
              <w:right w:type="dxa" w:w="68"/>
            </w:tcMar>
            <w:vAlign w:val="center"/>
          </w:tcPr>
          <w:p>
            <w:pPr>
              <w:spacing w:after="0"/>
              <w:jc w:val="left"/>
            </w:pPr>
            <w:r>
              <w:rPr>
                <w:b w:val="false"/>
                <w:bCs w:val="false"/>
                <w:color w:val="222222"/>
                <w:sz w:val="17"/>
                <w:szCs w:val="17"/>
              </w:rPr>
              <w:t xml:space="preserve">C_M</w:t>
            </w:r>
          </w:p>
        </w:tc>
        <w:tc>
          <w:tcPr>
            <w:tcW w:type="dxa" w:w="920"/>
            <w:tcMar>
              <w:top w:type="dxa" w:w="62"/>
              <w:left w:type="dxa" w:w="68"/>
              <w:bottom w:type="dxa" w:w="62"/>
              <w:right w:type="dxa" w:w="68"/>
            </w:tcMar>
            <w:vAlign w:val="center"/>
          </w:tcPr>
          <w:p>
            <w:pPr>
              <w:spacing w:after="0"/>
              <w:jc w:val="center"/>
            </w:pPr>
            <w:r>
              <w:rPr>
                <w:b w:val="false"/>
                <w:bCs w:val="false"/>
                <w:color w:val="222222"/>
                <w:sz w:val="17"/>
                <w:szCs w:val="17"/>
              </w:rPr>
              <w:t xml:space="preserve">4</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-0.348</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0.017</w:t>
            </w:r>
          </w:p>
        </w:tc>
        <w:tc>
          <w:tcPr>
            <w:tcW w:type="dxa" w:w="920"/>
            <w:tcMar>
              <w:top w:type="dxa" w:w="62"/>
              <w:left w:type="dxa" w:w="68"/>
              <w:bottom w:type="dxa" w:w="62"/>
              <w:right w:type="dxa" w:w="68"/>
            </w:tcMar>
            <w:vAlign w:val="center"/>
          </w:tcPr>
          <w:p>
            <w:pPr>
              <w:spacing w:after="0"/>
              <w:jc w:val="center"/>
            </w:pPr>
            <w:r>
              <w:rPr>
                <w:b w:val="false"/>
                <w:bCs w:val="false"/>
                <w:color w:val="222222"/>
                <w:sz w:val="17"/>
                <w:szCs w:val="17"/>
              </w:rPr>
              <w:t xml:space="preserve">4</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-0.102</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0.109</w:t>
            </w:r>
          </w:p>
        </w:tc>
        <w:tc>
          <w:tcPr>
            <w:tcW w:type="dxa" w:w="1120"/>
            <w:tcMar>
              <w:top w:type="dxa" w:w="62"/>
              <w:left w:type="dxa" w:w="68"/>
              <w:bottom w:type="dxa" w:w="62"/>
              <w:right w:type="dxa" w:w="68"/>
            </w:tcMar>
            <w:vAlign w:val="center"/>
          </w:tcPr>
          <w:p>
            <w:pPr>
              <w:spacing w:after="0"/>
              <w:jc w:val="center"/>
            </w:pPr>
            <w:r>
              <w:rPr>
                <w:b w:val="false"/>
                <w:bCs w:val="false"/>
                <w:color w:val="222222"/>
                <w:sz w:val="17"/>
                <w:szCs w:val="17"/>
              </w:rPr>
              <w:t xml:space="preserve">+0.246</w:t>
            </w:r>
          </w:p>
        </w:tc>
      </w:tr>
      <w:tr>
        <w:tc>
          <w:tcPr>
            <w:tcW w:type="dxa" w:w="1280"/>
            <w:tcMar>
              <w:top w:type="dxa" w:w="62"/>
              <w:left w:type="dxa" w:w="68"/>
              <w:bottom w:type="dxa" w:w="62"/>
              <w:right w:type="dxa" w:w="68"/>
            </w:tcMar>
            <w:vAlign w:val="center"/>
          </w:tcPr>
          <w:p>
            <w:pPr>
              <w:spacing w:after="0"/>
              <w:jc w:val="left"/>
            </w:pPr>
            <w:r>
              <w:rPr>
                <w:b w:val="false"/>
                <w:bCs w:val="false"/>
                <w:color w:val="222222"/>
                <w:sz w:val="17"/>
                <w:szCs w:val="17"/>
              </w:rPr>
              <w:t xml:space="preserve">C_L,beta</w:t>
            </w:r>
          </w:p>
        </w:tc>
        <w:tc>
          <w:tcPr>
            <w:tcW w:type="dxa" w:w="920"/>
            <w:tcMar>
              <w:top w:type="dxa" w:w="62"/>
              <w:left w:type="dxa" w:w="68"/>
              <w:bottom w:type="dxa" w:w="62"/>
              <w:right w:type="dxa" w:w="68"/>
            </w:tcMar>
            <w:vAlign w:val="center"/>
          </w:tcPr>
          <w:p>
            <w:pPr>
              <w:spacing w:after="0"/>
              <w:jc w:val="center"/>
            </w:pPr>
            <w:r>
              <w:rPr>
                <w:b w:val="false"/>
                <w:bCs w:val="false"/>
                <w:color w:val="222222"/>
                <w:sz w:val="17"/>
                <w:szCs w:val="17"/>
              </w:rPr>
              <w:t xml:space="preserve">4</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0.266</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0.001</w:t>
            </w:r>
          </w:p>
        </w:tc>
        <w:tc>
          <w:tcPr>
            <w:tcW w:type="dxa" w:w="920"/>
            <w:tcMar>
              <w:top w:type="dxa" w:w="62"/>
              <w:left w:type="dxa" w:w="68"/>
              <w:bottom w:type="dxa" w:w="62"/>
              <w:right w:type="dxa" w:w="68"/>
            </w:tcMar>
            <w:vAlign w:val="center"/>
          </w:tcPr>
          <w:p>
            <w:pPr>
              <w:spacing w:after="0"/>
              <w:jc w:val="center"/>
            </w:pPr>
            <w:r>
              <w:rPr>
                <w:b w:val="false"/>
                <w:bCs w:val="false"/>
                <w:color w:val="222222"/>
                <w:sz w:val="17"/>
                <w:szCs w:val="17"/>
              </w:rPr>
              <w:t xml:space="preserve">4</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0.233</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0.024</w:t>
            </w:r>
          </w:p>
        </w:tc>
        <w:tc>
          <w:tcPr>
            <w:tcW w:type="dxa" w:w="1120"/>
            <w:tcMar>
              <w:top w:type="dxa" w:w="62"/>
              <w:left w:type="dxa" w:w="68"/>
              <w:bottom w:type="dxa" w:w="62"/>
              <w:right w:type="dxa" w:w="68"/>
            </w:tcMar>
            <w:vAlign w:val="center"/>
          </w:tcPr>
          <w:p>
            <w:pPr>
              <w:spacing w:after="0"/>
              <w:jc w:val="center"/>
            </w:pPr>
            <w:r>
              <w:rPr>
                <w:b w:val="false"/>
                <w:bCs w:val="false"/>
                <w:color w:val="222222"/>
                <w:sz w:val="17"/>
                <w:szCs w:val="17"/>
              </w:rPr>
              <w:t xml:space="preserve">-0.033</w:t>
            </w:r>
          </w:p>
        </w:tc>
      </w:tr>
      <w:tr>
        <w:tc>
          <w:tcPr>
            <w:tcW w:type="dxa" w:w="1280"/>
            <w:tcMar>
              <w:top w:type="dxa" w:w="62"/>
              <w:left w:type="dxa" w:w="68"/>
              <w:bottom w:type="dxa" w:w="62"/>
              <w:right w:type="dxa" w:w="68"/>
            </w:tcMar>
            <w:vAlign w:val="center"/>
          </w:tcPr>
          <w:p>
            <w:pPr>
              <w:spacing w:after="0"/>
              <w:jc w:val="left"/>
            </w:pPr>
            <w:r>
              <w:rPr>
                <w:b w:val="false"/>
                <w:bCs w:val="false"/>
                <w:color w:val="222222"/>
                <w:sz w:val="17"/>
                <w:szCs w:val="17"/>
              </w:rPr>
              <w:t xml:space="preserve">C_beta</w:t>
            </w:r>
          </w:p>
        </w:tc>
        <w:tc>
          <w:tcPr>
            <w:tcW w:type="dxa" w:w="920"/>
            <w:tcMar>
              <w:top w:type="dxa" w:w="62"/>
              <w:left w:type="dxa" w:w="68"/>
              <w:bottom w:type="dxa" w:w="62"/>
              <w:right w:type="dxa" w:w="68"/>
            </w:tcMar>
            <w:vAlign w:val="center"/>
          </w:tcPr>
          <w:p>
            <w:pPr>
              <w:spacing w:after="0"/>
              <w:jc w:val="center"/>
            </w:pPr>
            <w:r>
              <w:rPr>
                <w:b w:val="false"/>
                <w:bCs w:val="false"/>
                <w:color w:val="222222"/>
                <w:sz w:val="17"/>
                <w:szCs w:val="17"/>
              </w:rPr>
              <w:t xml:space="preserve">4</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0.275</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0.001</w:t>
            </w:r>
          </w:p>
        </w:tc>
        <w:tc>
          <w:tcPr>
            <w:tcW w:type="dxa" w:w="920"/>
            <w:tcMar>
              <w:top w:type="dxa" w:w="62"/>
              <w:left w:type="dxa" w:w="68"/>
              <w:bottom w:type="dxa" w:w="62"/>
              <w:right w:type="dxa" w:w="68"/>
            </w:tcMar>
            <w:vAlign w:val="center"/>
          </w:tcPr>
          <w:p>
            <w:pPr>
              <w:spacing w:after="0"/>
              <w:jc w:val="center"/>
            </w:pPr>
            <w:r>
              <w:rPr>
                <w:b w:val="false"/>
                <w:bCs w:val="false"/>
                <w:color w:val="222222"/>
                <w:sz w:val="17"/>
                <w:szCs w:val="17"/>
              </w:rPr>
              <w:t xml:space="preserve">4</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0.235</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0.019</w:t>
            </w:r>
          </w:p>
        </w:tc>
        <w:tc>
          <w:tcPr>
            <w:tcW w:type="dxa" w:w="1120"/>
            <w:tcMar>
              <w:top w:type="dxa" w:w="62"/>
              <w:left w:type="dxa" w:w="68"/>
              <w:bottom w:type="dxa" w:w="62"/>
              <w:right w:type="dxa" w:w="68"/>
            </w:tcMar>
            <w:vAlign w:val="center"/>
          </w:tcPr>
          <w:p>
            <w:pPr>
              <w:spacing w:after="0"/>
              <w:jc w:val="center"/>
            </w:pPr>
            <w:r>
              <w:rPr>
                <w:b w:val="false"/>
                <w:bCs w:val="false"/>
                <w:color w:val="222222"/>
                <w:sz w:val="17"/>
                <w:szCs w:val="17"/>
              </w:rPr>
              <w:t xml:space="preserve">-0.040</w:t>
            </w:r>
          </w:p>
        </w:tc>
      </w:tr>
      <w:tr>
        <w:tc>
          <w:tcPr>
            <w:tcW w:type="dxa" w:w="1280"/>
            <w:tcMar>
              <w:top w:type="dxa" w:w="62"/>
              <w:left w:type="dxa" w:w="68"/>
              <w:bottom w:type="dxa" w:w="62"/>
              <w:right w:type="dxa" w:w="68"/>
            </w:tcMar>
            <w:vAlign w:val="center"/>
          </w:tcPr>
          <w:p>
            <w:pPr>
              <w:spacing w:after="0"/>
              <w:jc w:val="left"/>
            </w:pPr>
            <w:r>
              <w:rPr>
                <w:b w:val="false"/>
                <w:bCs w:val="false"/>
                <w:color w:val="222222"/>
                <w:sz w:val="17"/>
                <w:szCs w:val="17"/>
              </w:rPr>
              <w:t xml:space="preserve">C_b</w:t>
            </w:r>
          </w:p>
        </w:tc>
        <w:tc>
          <w:tcPr>
            <w:tcW w:type="dxa" w:w="920"/>
            <w:tcMar>
              <w:top w:type="dxa" w:w="62"/>
              <w:left w:type="dxa" w:w="68"/>
              <w:bottom w:type="dxa" w:w="62"/>
              <w:right w:type="dxa" w:w="68"/>
            </w:tcMar>
            <w:vAlign w:val="center"/>
          </w:tcPr>
          <w:p>
            <w:pPr>
              <w:spacing w:after="0"/>
              <w:jc w:val="center"/>
            </w:pPr>
            <w:r>
              <w:rPr>
                <w:b w:val="false"/>
                <w:bCs w:val="false"/>
                <w:color w:val="222222"/>
                <w:sz w:val="17"/>
                <w:szCs w:val="17"/>
              </w:rPr>
              <w:t xml:space="preserve">12</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0.003</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0.121</w:t>
            </w:r>
          </w:p>
        </w:tc>
        <w:tc>
          <w:tcPr>
            <w:tcW w:type="dxa" w:w="920"/>
            <w:tcMar>
              <w:top w:type="dxa" w:w="62"/>
              <w:left w:type="dxa" w:w="68"/>
              <w:bottom w:type="dxa" w:w="62"/>
              <w:right w:type="dxa" w:w="68"/>
            </w:tcMar>
            <w:vAlign w:val="center"/>
          </w:tcPr>
          <w:p>
            <w:pPr>
              <w:spacing w:after="0"/>
              <w:jc w:val="center"/>
            </w:pPr>
            <w:r>
              <w:rPr>
                <w:b w:val="false"/>
                <w:bCs w:val="false"/>
                <w:color w:val="222222"/>
                <w:sz w:val="17"/>
                <w:szCs w:val="17"/>
              </w:rPr>
              <w:t xml:space="preserve">12</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-0.048</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0.207</w:t>
            </w:r>
          </w:p>
        </w:tc>
        <w:tc>
          <w:tcPr>
            <w:tcW w:type="dxa" w:w="1120"/>
            <w:tcMar>
              <w:top w:type="dxa" w:w="62"/>
              <w:left w:type="dxa" w:w="68"/>
              <w:bottom w:type="dxa" w:w="62"/>
              <w:right w:type="dxa" w:w="68"/>
            </w:tcMar>
            <w:vAlign w:val="center"/>
          </w:tcPr>
          <w:p>
            <w:pPr>
              <w:spacing w:after="0"/>
              <w:jc w:val="center"/>
            </w:pPr>
            <w:r>
              <w:rPr>
                <w:b w:val="false"/>
                <w:bCs w:val="false"/>
                <w:color w:val="222222"/>
                <w:sz w:val="17"/>
                <w:szCs w:val="17"/>
              </w:rPr>
              <w:t xml:space="preserve">-0.052</w:t>
            </w:r>
          </w:p>
        </w:tc>
      </w:tr>
      <w:tr>
        <w:tc>
          <w:tcPr>
            <w:tcW w:type="dxa" w:w="1280"/>
            <w:tcMar>
              <w:top w:type="dxa" w:w="62"/>
              <w:left w:type="dxa" w:w="68"/>
              <w:bottom w:type="dxa" w:w="62"/>
              <w:right w:type="dxa" w:w="68"/>
            </w:tcMar>
            <w:vAlign w:val="center"/>
          </w:tcPr>
          <w:p>
            <w:pPr>
              <w:spacing w:after="0"/>
              <w:jc w:val="left"/>
            </w:pPr>
            <w:r>
              <w:rPr>
                <w:b w:val="false"/>
                <w:bCs w:val="false"/>
                <w:color w:val="222222"/>
                <w:sz w:val="17"/>
                <w:szCs w:val="17"/>
              </w:rPr>
              <w:t xml:space="preserve">C_w</w:t>
            </w:r>
          </w:p>
        </w:tc>
        <w:tc>
          <w:tcPr>
            <w:tcW w:type="dxa" w:w="920"/>
            <w:tcMar>
              <w:top w:type="dxa" w:w="62"/>
              <w:left w:type="dxa" w:w="68"/>
              <w:bottom w:type="dxa" w:w="62"/>
              <w:right w:type="dxa" w:w="68"/>
            </w:tcMar>
            <w:vAlign w:val="center"/>
          </w:tcPr>
          <w:p>
            <w:pPr>
              <w:spacing w:after="0"/>
              <w:jc w:val="center"/>
            </w:pPr>
            <w:r>
              <w:rPr>
                <w:b w:val="false"/>
                <w:bCs w:val="false"/>
                <w:color w:val="222222"/>
                <w:sz w:val="17"/>
                <w:szCs w:val="17"/>
              </w:rPr>
              <w:t xml:space="preserve">12</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-0.003</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0.124</w:t>
            </w:r>
          </w:p>
        </w:tc>
        <w:tc>
          <w:tcPr>
            <w:tcW w:type="dxa" w:w="920"/>
            <w:tcMar>
              <w:top w:type="dxa" w:w="62"/>
              <w:left w:type="dxa" w:w="68"/>
              <w:bottom w:type="dxa" w:w="62"/>
              <w:right w:type="dxa" w:w="68"/>
            </w:tcMar>
            <w:vAlign w:val="center"/>
          </w:tcPr>
          <w:p>
            <w:pPr>
              <w:spacing w:after="0"/>
              <w:jc w:val="center"/>
            </w:pPr>
            <w:r>
              <w:rPr>
                <w:b w:val="false"/>
                <w:bCs w:val="false"/>
                <w:color w:val="222222"/>
                <w:sz w:val="17"/>
                <w:szCs w:val="17"/>
              </w:rPr>
              <w:t xml:space="preserve">12</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0.048</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0.097</w:t>
            </w:r>
          </w:p>
        </w:tc>
        <w:tc>
          <w:tcPr>
            <w:tcW w:type="dxa" w:w="1120"/>
            <w:tcMar>
              <w:top w:type="dxa" w:w="62"/>
              <w:left w:type="dxa" w:w="68"/>
              <w:bottom w:type="dxa" w:w="62"/>
              <w:right w:type="dxa" w:w="68"/>
            </w:tcMar>
            <w:vAlign w:val="center"/>
          </w:tcPr>
          <w:p>
            <w:pPr>
              <w:spacing w:after="0"/>
              <w:jc w:val="center"/>
            </w:pPr>
            <w:r>
              <w:rPr>
                <w:b w:val="false"/>
                <w:bCs w:val="false"/>
                <w:color w:val="222222"/>
                <w:sz w:val="17"/>
                <w:szCs w:val="17"/>
              </w:rPr>
              <w:t xml:space="preserve">+0.052</w:t>
            </w:r>
          </w:p>
        </w:tc>
      </w:tr>
      <w:tr>
        <w:tc>
          <w:tcPr>
            <w:tcW w:type="dxa" w:w="1280"/>
            <w:tcMar>
              <w:top w:type="dxa" w:w="62"/>
              <w:left w:type="dxa" w:w="68"/>
              <w:bottom w:type="dxa" w:w="62"/>
              <w:right w:type="dxa" w:w="68"/>
            </w:tcMar>
            <w:vAlign w:val="center"/>
          </w:tcPr>
          <w:p>
            <w:pPr>
              <w:spacing w:after="0"/>
              <w:jc w:val="left"/>
            </w:pPr>
            <w:r>
              <w:rPr>
                <w:b w:val="false"/>
                <w:bCs w:val="false"/>
                <w:color w:val="222222"/>
                <w:sz w:val="17"/>
                <w:szCs w:val="17"/>
              </w:rPr>
              <w:t xml:space="preserve">C_COOH</w:t>
            </w:r>
          </w:p>
        </w:tc>
        <w:tc>
          <w:tcPr>
            <w:tcW w:type="dxa" w:w="920"/>
            <w:tcMar>
              <w:top w:type="dxa" w:w="62"/>
              <w:left w:type="dxa" w:w="68"/>
              <w:bottom w:type="dxa" w:w="62"/>
              <w:right w:type="dxa" w:w="68"/>
            </w:tcMar>
            <w:vAlign w:val="center"/>
          </w:tcPr>
          <w:p>
            <w:pPr>
              <w:spacing w:after="0"/>
              <w:jc w:val="center"/>
            </w:pPr>
            <w:r>
              <w:rPr>
                <w:b w:val="false"/>
                <w:bCs w:val="false"/>
                <w:color w:val="222222"/>
                <w:sz w:val="17"/>
                <w:szCs w:val="17"/>
              </w:rPr>
              <w:t xml:space="preserve">—</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w:t>
            </w:r>
          </w:p>
        </w:tc>
        <w:tc>
          <w:tcPr>
            <w:tcW w:type="dxa" w:w="920"/>
            <w:tcMar>
              <w:top w:type="dxa" w:w="62"/>
              <w:left w:type="dxa" w:w="68"/>
              <w:bottom w:type="dxa" w:w="62"/>
              <w:right w:type="dxa" w:w="68"/>
            </w:tcMar>
            <w:vAlign w:val="center"/>
          </w:tcPr>
          <w:p>
            <w:pPr>
              <w:spacing w:after="0"/>
              <w:jc w:val="center"/>
            </w:pPr>
            <w:r>
              <w:rPr>
                <w:b w:val="false"/>
                <w:bCs w:val="false"/>
                <w:color w:val="222222"/>
                <w:sz w:val="17"/>
                <w:szCs w:val="17"/>
              </w:rPr>
              <w:t xml:space="preserve">2</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-3.678</w:t>
            </w:r>
          </w:p>
        </w:tc>
        <w:tc>
          <w:tcPr>
            <w:tcW w:type="dxa" w:w="1280"/>
            <w:tcMar>
              <w:top w:type="dxa" w:w="62"/>
              <w:left w:type="dxa" w:w="68"/>
              <w:bottom w:type="dxa" w:w="62"/>
              <w:right w:type="dxa" w:w="68"/>
            </w:tcMar>
            <w:vAlign w:val="center"/>
          </w:tcPr>
          <w:p>
            <w:pPr>
              <w:spacing w:after="0"/>
              <w:jc w:val="center"/>
            </w:pPr>
            <w:r>
              <w:rPr>
                <w:b w:val="false"/>
                <w:bCs w:val="false"/>
                <w:color w:val="222222"/>
                <w:sz w:val="17"/>
                <w:szCs w:val="17"/>
              </w:rPr>
              <w:t xml:space="preserve">0.122</w:t>
            </w:r>
          </w:p>
        </w:tc>
        <w:tc>
          <w:tcPr>
            <w:tcW w:type="dxa" w:w="1120"/>
            <w:tcMar>
              <w:top w:type="dxa" w:w="62"/>
              <w:left w:type="dxa" w:w="68"/>
              <w:bottom w:type="dxa" w:w="62"/>
              <w:right w:type="dxa" w:w="68"/>
            </w:tcMar>
            <w:vAlign w:val="center"/>
          </w:tcPr>
          <w:p>
            <w:pPr>
              <w:spacing w:after="0"/>
              <w:jc w:val="center"/>
            </w:pPr>
            <w:r>
              <w:rPr>
                <w:b w:val="false"/>
                <w:bCs w:val="false"/>
                <w:color w:val="222222"/>
                <w:sz w:val="17"/>
                <w:szCs w:val="17"/>
              </w:rPr>
              <w:t xml:space="preserve">—</w:t>
            </w:r>
          </w:p>
        </w:tc>
      </w:tr>
    </w:tbl>
    <w:p>
      <w:pPr>
        <w:spacing w:after="110" w:before="40"/>
        <w:jc w:val="center"/>
      </w:pPr>
      <w:r>
        <w:rPr>
          <w:i/>
          <w:iCs/>
          <w:color w:val="626D78"/>
          <w:sz w:val="17"/>
          <w:szCs w:val="17"/>
        </w:rPr>
        <w:t xml:space="preserve">Table 3. Group-averaged C 1s initial-state shifts. P = Planar; D = PLDC–COOH; σ is the population standard deviation across atoms in the group.</w:t>
      </w:r>
    </w:p>
    <w:p>
      <w:pPr>
        <w:spacing w:after="55"/>
        <w:jc w:val="center"/>
      </w:pPr>
      <w:r>
        <w:drawing>
          <wp:inline distT="0" distB="0" distL="0" distR="0">
            <wp:extent cx="6191250" cy="3267075"/>
            <wp:effectExtent t="0" r="0" b="0" l="0"/>
            <wp:docPr id="1" name="Group mean shift comparison" descr="Group mean shift comparison" title="Group mean shift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267075"/>
                    </a:xfrm>
                    <a:prstGeom prst="rect">
                      <a:avLst/>
                    </a:prstGeom>
                  </pic:spPr>
                </pic:pic>
              </a:graphicData>
            </a:graphic>
          </wp:inline>
        </w:drawing>
      </w:r>
    </w:p>
    <w:p>
      <w:pPr>
        <w:spacing w:after="110" w:before="40"/>
        <w:jc w:val="center"/>
      </w:pPr>
      <w:r>
        <w:rPr>
          <w:i/>
          <w:iCs/>
          <w:color w:val="626D78"/>
          <w:sz w:val="17"/>
          <w:szCs w:val="17"/>
        </w:rPr>
        <w:t xml:space="preserve">Figure 3. Mean shifts with whiskers spanning the minimum and maximum site values. C_COOH is separated because its scale is far from the common groups.</w:t>
      </w:r>
    </w:p>
    <w:p>
      <w:pPr>
        <w:pStyle w:val="Heading2"/>
        <w:spacing w:after="75" w:before="135"/>
      </w:pPr>
      <w:r>
        <w:t xml:space="preserve">Main numerical changes</w:t>
      </w:r>
    </w:p>
    <w:p>
      <w:pPr>
        <w:keepNext w:val="false"/>
        <w:spacing w:after="105" w:line="276"/>
        <w:jc w:val="left"/>
      </w:pPr>
      <w:r>
        <w:rPr>
          <w:b w:val="false"/>
          <w:bCs w:val="false"/>
          <w:i w:val="false"/>
          <w:iCs w:val="false"/>
          <w:sz w:val="20"/>
          <w:szCs w:val="20"/>
        </w:rPr>
        <w:t xml:space="preserve">Relative to Planar, PLDC–COOH shifts C_L,alpha by −0.079 eV and C_alpha by −0.111 eV. C_M moves by +0.246 eV. C_L,beta and C_beta change by −0.033 and −0.040 eV. The C_b and C_w means move in opposite directions by approximately −0.052 and +0.052 eV because their combined mean defines zero. The new C_COOH group appears at −3.678 eV.</w:t>
      </w:r>
    </w:p>
    <w:p>
      <w:r>
        <w:br w:type="page"/>
      </w:r>
    </w:p>
    <w:p>
      <w:pPr>
        <w:pStyle w:val="Heading1"/>
        <w:spacing w:after="75" w:before="190"/>
      </w:pPr>
      <w:r>
        <w:t xml:space="preserve">8. Gaussian-broadened C 1s envelopes</w:t>
      </w:r>
    </w:p>
    <w:p>
      <w:pPr>
        <w:spacing w:after="55"/>
        <w:jc w:val="center"/>
      </w:pPr>
      <w:r>
        <w:drawing>
          <wp:inline distT="0" distB="0" distL="0" distR="0">
            <wp:extent cx="6191250" cy="4714875"/>
            <wp:effectExtent t="0" r="0" b="0" l="0"/>
            <wp:docPr id="1" name="All-carbon spectral envelope comparison" descr="All-carbon spectral envelope comparison" title="All-carbon spectral envelop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4714875"/>
                    </a:xfrm>
                    <a:prstGeom prst="rect">
                      <a:avLst/>
                    </a:prstGeom>
                  </pic:spPr>
                </pic:pic>
              </a:graphicData>
            </a:graphic>
          </wp:inline>
        </w:drawing>
      </w:r>
    </w:p>
    <w:p>
      <w:pPr>
        <w:spacing w:after="110" w:before="40"/>
        <w:jc w:val="center"/>
      </w:pPr>
      <w:r>
        <w:rPr>
          <w:i/>
          <w:iCs/>
          <w:color w:val="626D78"/>
          <w:sz w:val="17"/>
          <w:szCs w:val="17"/>
        </w:rPr>
        <w:t xml:space="preserve">Figure 4. Gaussian-broadened C 1s initial-state shifts. Blue background: C_L,alpha+C_alpha. Amber background: all remaining carbon groups. Individual groups are foreground curves. No total curve is included.</w:t>
      </w:r>
    </w:p>
    <w:p>
      <w:pPr>
        <w:pStyle w:val="Heading2"/>
        <w:spacing w:after="75" w:before="135"/>
      </w:pPr>
      <w:r>
        <w:t xml:space="preserve">Reading the envelopes</w:t>
      </w:r>
    </w:p>
    <w:p>
      <w:pPr>
        <w:keepNext w:val="false"/>
        <w:spacing w:after="105" w:line="276"/>
        <w:jc w:val="left"/>
      </w:pPr>
      <w:r>
        <w:rPr>
          <w:b w:val="false"/>
          <w:bCs w:val="false"/>
          <w:i w:val="false"/>
          <w:iCs w:val="false"/>
          <w:sz w:val="20"/>
          <w:szCs w:val="20"/>
        </w:rPr>
        <w:t xml:space="preserve">The Planar alpha-pair envelope is narrow because its eight sites are nearly equivalent. PLDC–COOH broadens and splits this negative-shift region, consistent with reduced equivalence after adding the two carboxyl groups. The remaining-group background is dominated by C_b and C_w because each contains 12 atoms. The two C_COOH atoms have a much smaller integrated weight and are displayed in an inset around −3.68 eV.</w:t>
      </w:r>
    </w:p>
    <w:p>
      <w:pPr>
        <w:pStyle w:val="Heading2"/>
        <w:spacing w:after="75" w:before="135"/>
      </w:pPr>
      <w:r>
        <w:t xml:space="preserve">Normalization</w:t>
      </w:r>
    </w:p>
    <w:p>
      <w:pPr>
        <w:keepNext w:val="false"/>
        <w:spacing w:after="105" w:line="276"/>
        <w:jc w:val="left"/>
      </w:pPr>
      <w:r>
        <w:rPr>
          <w:b w:val="false"/>
          <w:bCs w:val="false"/>
          <w:i w:val="false"/>
          <w:iCs w:val="false"/>
          <w:sz w:val="20"/>
          <w:szCs w:val="20"/>
        </w:rPr>
        <w:t xml:space="preserve">Within each molecular panel, all group curves use a common scale derived from the main-window summed intensity. The relative heights therefore preserve group multiplicity within that molecule. Each panel is normalized separately, so peak heights should not be interpreted as an absolute cross-section comparison between Planar and PLDC.</w:t>
      </w:r>
    </w:p>
    <w:p>
      <w:r>
        <w:br w:type="page"/>
      </w:r>
    </w:p>
    <w:p>
      <w:pPr>
        <w:pStyle w:val="Heading1"/>
        <w:spacing w:after="75" w:before="190"/>
      </w:pPr>
      <w:r>
        <w:t xml:space="preserve">9. Interpretation, limitations, and recommended next steps</w:t>
      </w:r>
    </w:p>
    <w:p>
      <w:pPr>
        <w:pStyle w:val="Heading2"/>
        <w:spacing w:after="75" w:before="135"/>
      </w:pPr>
      <w:r>
        <w:t xml:space="preserve">Interpretation boundaries</w:t>
      </w:r>
    </w:p>
    <w:p>
      <w:pPr>
        <w:keepNext w:val="false"/>
        <w:spacing w:after="105" w:line="276"/>
        <w:jc w:val="left"/>
      </w:pPr>
      <w:r>
        <w:rPr>
          <w:b w:val="false"/>
          <w:bCs w:val="false"/>
          <w:i w:val="false"/>
          <w:iCs w:val="false"/>
          <w:sz w:val="20"/>
          <w:szCs w:val="20"/>
        </w:rPr>
        <w:t xml:space="preserve">These are initial-state relative shifts derived from the self-consistent electrostatic environment and the normal/core-excited pseudopotential pair. They are not absolute experimental binding energies. Direct comparison with XPS normally requires an energy alignment and may require final-state screening, relaxation, instrumental broadening, and cross-section weighting.</w:t>
      </w:r>
    </w:p>
    <w:p>
      <w:pPr>
        <w:pStyle w:val="Heading2"/>
        <w:spacing w:after="75" w:before="135"/>
      </w:pPr>
      <w:r>
        <w:t xml:space="preserve">Geometry limitation</w:t>
      </w:r>
    </w:p>
    <w:p>
      <w:pPr>
        <w:keepNext w:val="false"/>
        <w:spacing w:after="105" w:line="276"/>
        <w:jc w:val="left"/>
      </w:pPr>
      <w:r>
        <w:rPr>
          <w:b w:val="false"/>
          <w:bCs w:val="false"/>
          <w:i w:val="false"/>
          <w:iCs w:val="false"/>
          <w:sz w:val="20"/>
          <w:szCs w:val="20"/>
        </w:rPr>
        <w:t xml:space="preserve">The Planar and supplied PLDC frameworks were used as provided. H82 and H83 were constructed geometrically and were not relaxed. The C_COOH values are therefore especially sensitive to a future geometry optimization of the O–H and C–O bond lengths.</w:t>
      </w:r>
    </w:p>
    <w:p>
      <w:pPr>
        <w:pStyle w:val="Heading2"/>
        <w:spacing w:after="75" w:before="135"/>
      </w:pPr>
      <w:r>
        <w:t xml:space="preserve">Numerical limitations</w:t>
      </w:r>
    </w:p>
    <w:p>
      <w:pPr>
        <w:keepNext w:val="false"/>
        <w:spacing w:after="105" w:line="276"/>
        <w:jc w:val="left"/>
      </w:pPr>
      <w:r>
        <w:rPr>
          <w:b w:val="false"/>
          <w:bCs w:val="false"/>
          <w:i w:val="false"/>
          <w:iCs w:val="false"/>
          <w:sz w:val="20"/>
          <w:szCs w:val="20"/>
        </w:rPr>
        <w:t xml:space="preserve">A systematic convergence study of cell size, ecutwfc, ecutrho, smearing, and pseudopotential family was not performed. The 25 Å and 30/180 Ry settings are demonstrated working parameters. Before publication, repeat representative calculations at larger cells and cutoffs and verify that relative group means change less than the chosen tolerance, for example 0.02–0.05 eV.</w:t>
      </w:r>
    </w:p>
    <w:p>
      <w:pPr>
        <w:pStyle w:val="Heading2"/>
        <w:spacing w:after="75" w:before="135"/>
      </w:pPr>
      <w:r>
        <w:t xml:space="preserve">Recommended next steps</w:t>
      </w:r>
    </w:p>
    <w:p>
      <w:pPr>
        <w:keepNext w:val="false"/>
        <w:spacing w:after="105" w:line="276"/>
        <w:jc w:val="left"/>
      </w:pPr>
      <w:r>
        <w:rPr>
          <w:b w:val="false"/>
          <w:bCs w:val="false"/>
          <w:i w:val="false"/>
          <w:iCs w:val="false"/>
          <w:sz w:val="20"/>
          <w:szCs w:val="20"/>
        </w:rPr>
        <w:t xml:space="preserve">First optimize the neutral PLDC–COOH geometry while preserving the intended molecular state. Then perform cell/cutoff convergence tests on representative carbon sites, recalculate the all-carbon shifts, and align the simulated spectrum to a selected experimental or calculated reference peak. If absolute XPS energies are required, add a final-state or ΔSCF workflow.</w:t>
      </w:r>
    </w:p>
    <w:p>
      <w:pPr>
        <w:pStyle w:val="Heading2"/>
        <w:spacing w:after="75" w:before="135"/>
      </w:pPr>
      <w:r>
        <w:t xml:space="preserve">Conclusion</w:t>
      </w:r>
    </w:p>
    <w:p>
      <w:pPr>
        <w:keepNext w:val="false"/>
        <w:spacing w:after="105" w:line="276"/>
        <w:jc w:val="left"/>
      </w:pPr>
      <w:r>
        <w:rPr>
          <w:b w:val="false"/>
          <w:bCs w:val="false"/>
          <w:i w:val="false"/>
          <w:iCs w:val="false"/>
          <w:sz w:val="20"/>
          <w:szCs w:val="20"/>
        </w:rPr>
        <w:t xml:space="preserve">The requested all-carbon comparison is complete and reproducible. Both structures were treated with consistent electronic settings. PLDC–COOH changes the alpha and meso regions, broadens several common groups, and adds a well-separated two-carbon C_COOH feature under the Quantum ESPRESSO initial-state convention.</w:t>
      </w:r>
    </w:p>
    <w:p>
      <w:r>
        <w:br w:type="page"/>
      </w:r>
    </w:p>
    <w:p>
      <w:pPr>
        <w:pStyle w:val="Heading1"/>
        <w:spacing w:after="75" w:before="190"/>
      </w:pPr>
      <w:r>
        <w:t xml:space="preserve">10. Reproducibility and file inventory</w:t>
      </w:r>
    </w:p>
    <w:tbl>
      <w:tblPr>
        <w:tblW w:type="dxa" w:w="9360"/>
        <w:tblBorders>
          <w:top w:val="single" w:color="B7C3D0" w:sz="4"/>
          <w:left w:val="single" w:color="B7C3D0" w:sz="4"/>
          <w:bottom w:val="single" w:color="B7C3D0" w:sz="4"/>
          <w:right w:val="single" w:color="B7C3D0" w:sz="4"/>
          <w:insideH w:val="single" w:color="D9E0E7" w:sz="3"/>
          <w:insideV w:val="single" w:color="D9E0E7" w:sz="3"/>
        </w:tblBorders>
      </w:tblPr>
      <w:tblGrid>
        <w:gridCol w:w="2450"/>
        <w:gridCol w:w="6910"/>
      </w:tblGrid>
      <w:tr>
        <w:tc>
          <w:tcPr>
            <w:tcW w:type="dxa" w:w="2450"/>
            <w:shd w:fill="DDEAF5" w:val="clear"/>
            <w:tcMar>
              <w:top w:type="dxa" w:w="62"/>
              <w:left w:type="dxa" w:w="72"/>
              <w:bottom w:type="dxa" w:w="62"/>
              <w:right w:type="dxa" w:w="72"/>
            </w:tcMar>
          </w:tcPr>
          <w:p>
            <w:pPr>
              <w:spacing w:after="0"/>
            </w:pPr>
            <w:r>
              <w:rPr>
                <w:b/>
                <w:bCs/>
                <w:color w:val="17365D"/>
                <w:sz w:val="17"/>
                <w:szCs w:val="17"/>
              </w:rPr>
              <w:t xml:space="preserve">Main result directory</w:t>
            </w:r>
          </w:p>
        </w:tc>
        <w:tc>
          <w:tcPr>
            <w:tcW w:type="dxa" w:w="6910"/>
            <w:shd w:fill="F8FAFC" w:val="clear"/>
            <w:tcMar>
              <w:top w:type="dxa" w:w="62"/>
              <w:left w:type="dxa" w:w="72"/>
              <w:bottom w:type="dxa" w:w="62"/>
              <w:right w:type="dxa" w:w="72"/>
            </w:tcMar>
          </w:tcPr>
          <w:p>
            <w:pPr>
              <w:spacing w:after="0"/>
            </w:pPr>
            <w:r>
              <w:rPr>
                <w:sz w:val="17"/>
                <w:szCs w:val="17"/>
              </w:rPr>
              <w:t xml:space="preserve">/Users/behnamazizi/Downloads/core level shifts/planarCOOH</w:t>
            </w:r>
          </w:p>
        </w:tc>
      </w:tr>
      <w:tr>
        <w:tc>
          <w:tcPr>
            <w:tcW w:type="dxa" w:w="2450"/>
            <w:shd w:fill="EDF3F8" w:val="clear"/>
            <w:tcMar>
              <w:top w:type="dxa" w:w="62"/>
              <w:left w:type="dxa" w:w="72"/>
              <w:bottom w:type="dxa" w:w="62"/>
              <w:right w:type="dxa" w:w="72"/>
            </w:tcMar>
          </w:tcPr>
          <w:p>
            <w:pPr>
              <w:spacing w:after="0"/>
            </w:pPr>
            <w:r>
              <w:rPr>
                <w:b/>
                <w:bCs/>
                <w:color w:val="17365D"/>
                <w:sz w:val="17"/>
                <w:szCs w:val="17"/>
              </w:rPr>
              <w:t xml:space="preserve">Planar geometry</w:t>
            </w:r>
          </w:p>
        </w:tc>
        <w:tc>
          <w:tcPr>
            <w:tcW w:type="dxa" w:w="6910"/>
            <w:shd w:fill="FFFFFF" w:val="clear"/>
            <w:tcMar>
              <w:top w:type="dxa" w:w="62"/>
              <w:left w:type="dxa" w:w="72"/>
              <w:bottom w:type="dxa" w:w="62"/>
              <w:right w:type="dxa" w:w="72"/>
            </w:tcMar>
          </w:tcPr>
          <w:p>
            <w:pPr>
              <w:spacing w:after="0"/>
            </w:pPr>
            <w:r>
              <w:rPr>
                <w:sz w:val="17"/>
                <w:szCs w:val="17"/>
              </w:rPr>
              <w:t xml:space="preserve">/Users/behnamazizi/Downloads/core level shifts/planar/structure/planar.xyz</w:t>
            </w:r>
          </w:p>
        </w:tc>
      </w:tr>
      <w:tr>
        <w:tc>
          <w:tcPr>
            <w:tcW w:type="dxa" w:w="2450"/>
            <w:shd w:fill="DDEAF5" w:val="clear"/>
            <w:tcMar>
              <w:top w:type="dxa" w:w="62"/>
              <w:left w:type="dxa" w:w="72"/>
              <w:bottom w:type="dxa" w:w="62"/>
              <w:right w:type="dxa" w:w="72"/>
            </w:tcMar>
          </w:tcPr>
          <w:p>
            <w:pPr>
              <w:spacing w:after="0"/>
            </w:pPr>
            <w:r>
              <w:rPr>
                <w:b/>
                <w:bCs/>
                <w:color w:val="17365D"/>
                <w:sz w:val="17"/>
                <w:szCs w:val="17"/>
              </w:rPr>
              <w:t xml:space="preserve">PLDC–COOH geometry</w:t>
            </w:r>
          </w:p>
        </w:tc>
        <w:tc>
          <w:tcPr>
            <w:tcW w:type="dxa" w:w="6910"/>
            <w:shd w:fill="F8FAFC" w:val="clear"/>
            <w:tcMar>
              <w:top w:type="dxa" w:w="62"/>
              <w:left w:type="dxa" w:w="72"/>
              <w:bottom w:type="dxa" w:w="62"/>
              <w:right w:type="dxa" w:w="72"/>
            </w:tcMar>
          </w:tcPr>
          <w:p>
            <w:pPr>
              <w:spacing w:after="0"/>
            </w:pPr>
            <w:r>
              <w:rPr>
                <w:sz w:val="17"/>
                <w:szCs w:val="17"/>
              </w:rPr>
              <w:t xml:space="preserve">/Users/behnamazizi/Downloads/core level shifts/planarCOOH/structure/PLDC_COOH.xyz</w:t>
            </w:r>
          </w:p>
        </w:tc>
      </w:tr>
      <w:tr>
        <w:tc>
          <w:tcPr>
            <w:tcW w:type="dxa" w:w="2450"/>
            <w:shd w:fill="EDF3F8" w:val="clear"/>
            <w:tcMar>
              <w:top w:type="dxa" w:w="62"/>
              <w:left w:type="dxa" w:w="72"/>
              <w:bottom w:type="dxa" w:w="62"/>
              <w:right w:type="dxa" w:w="72"/>
            </w:tcMar>
          </w:tcPr>
          <w:p>
            <w:pPr>
              <w:spacing w:after="0"/>
            </w:pPr>
            <w:r>
              <w:rPr>
                <w:b/>
                <w:bCs/>
                <w:color w:val="17365D"/>
                <w:sz w:val="17"/>
                <w:szCs w:val="17"/>
              </w:rPr>
              <w:t xml:space="preserve">PLDC inputs</w:t>
            </w:r>
          </w:p>
        </w:tc>
        <w:tc>
          <w:tcPr>
            <w:tcW w:type="dxa" w:w="6910"/>
            <w:shd w:fill="FFFFFF" w:val="clear"/>
            <w:tcMar>
              <w:top w:type="dxa" w:w="62"/>
              <w:left w:type="dxa" w:w="72"/>
              <w:bottom w:type="dxa" w:w="62"/>
              <w:right w:type="dxa" w:w="72"/>
            </w:tcMar>
          </w:tcPr>
          <w:p>
            <w:pPr>
              <w:spacing w:after="0"/>
            </w:pPr>
            <w:r>
              <w:rPr>
                <w:sz w:val="17"/>
                <w:szCs w:val="17"/>
              </w:rPr>
              <w:t xml:space="preserve">/Users/behnamazizi/Downloads/core level shifts/planarCOOH/input</w:t>
            </w:r>
          </w:p>
        </w:tc>
      </w:tr>
      <w:tr>
        <w:tc>
          <w:tcPr>
            <w:tcW w:type="dxa" w:w="2450"/>
            <w:shd w:fill="DDEAF5" w:val="clear"/>
            <w:tcMar>
              <w:top w:type="dxa" w:w="62"/>
              <w:left w:type="dxa" w:w="72"/>
              <w:bottom w:type="dxa" w:w="62"/>
              <w:right w:type="dxa" w:w="72"/>
            </w:tcMar>
          </w:tcPr>
          <w:p>
            <w:pPr>
              <w:spacing w:after="0"/>
            </w:pPr>
            <w:r>
              <w:rPr>
                <w:b/>
                <w:bCs/>
                <w:color w:val="17365D"/>
                <w:sz w:val="17"/>
                <w:szCs w:val="17"/>
              </w:rPr>
              <w:t xml:space="preserve">PLDC outputs</w:t>
            </w:r>
          </w:p>
        </w:tc>
        <w:tc>
          <w:tcPr>
            <w:tcW w:type="dxa" w:w="6910"/>
            <w:shd w:fill="F8FAFC" w:val="clear"/>
            <w:tcMar>
              <w:top w:type="dxa" w:w="62"/>
              <w:left w:type="dxa" w:w="72"/>
              <w:bottom w:type="dxa" w:w="62"/>
              <w:right w:type="dxa" w:w="72"/>
            </w:tcMar>
          </w:tcPr>
          <w:p>
            <w:pPr>
              <w:spacing w:after="0"/>
            </w:pPr>
            <w:r>
              <w:rPr>
                <w:sz w:val="17"/>
                <w:szCs w:val="17"/>
              </w:rPr>
              <w:t xml:space="preserve">/Users/behnamazizi/Downloads/core level shifts/planarCOOH/output</w:t>
            </w:r>
          </w:p>
        </w:tc>
      </w:tr>
      <w:tr>
        <w:tc>
          <w:tcPr>
            <w:tcW w:type="dxa" w:w="2450"/>
            <w:shd w:fill="EDF3F8" w:val="clear"/>
            <w:tcMar>
              <w:top w:type="dxa" w:w="62"/>
              <w:left w:type="dxa" w:w="72"/>
              <w:bottom w:type="dxa" w:w="62"/>
              <w:right w:type="dxa" w:w="72"/>
            </w:tcMar>
          </w:tcPr>
          <w:p>
            <w:pPr>
              <w:spacing w:after="0"/>
            </w:pPr>
            <w:r>
              <w:rPr>
                <w:b/>
                <w:bCs/>
                <w:color w:val="17365D"/>
                <w:sz w:val="17"/>
                <w:szCs w:val="17"/>
              </w:rPr>
              <w:t xml:space="preserve">Restart data</w:t>
            </w:r>
          </w:p>
        </w:tc>
        <w:tc>
          <w:tcPr>
            <w:tcW w:type="dxa" w:w="6910"/>
            <w:shd w:fill="FFFFFF" w:val="clear"/>
            <w:tcMar>
              <w:top w:type="dxa" w:w="62"/>
              <w:left w:type="dxa" w:w="72"/>
              <w:bottom w:type="dxa" w:w="62"/>
              <w:right w:type="dxa" w:w="72"/>
            </w:tcMar>
          </w:tcPr>
          <w:p>
            <w:pPr>
              <w:spacing w:after="0"/>
            </w:pPr>
            <w:r>
              <w:rPr>
                <w:sz w:val="17"/>
                <w:szCs w:val="17"/>
              </w:rPr>
              <w:t xml:space="preserve">/Users/behnamazizi/Downloads/core level shifts/planarCOOH/output/restart_data/pldc_cooh_allC.save</w:t>
            </w:r>
          </w:p>
        </w:tc>
      </w:tr>
      <w:tr>
        <w:tc>
          <w:tcPr>
            <w:tcW w:type="dxa" w:w="2450"/>
            <w:shd w:fill="DDEAF5" w:val="clear"/>
            <w:tcMar>
              <w:top w:type="dxa" w:w="62"/>
              <w:left w:type="dxa" w:w="72"/>
              <w:bottom w:type="dxa" w:w="62"/>
              <w:right w:type="dxa" w:w="72"/>
            </w:tcMar>
          </w:tcPr>
          <w:p>
            <w:pPr>
              <w:spacing w:after="0"/>
            </w:pPr>
            <w:r>
              <w:rPr>
                <w:b/>
                <w:bCs/>
                <w:color w:val="17365D"/>
                <w:sz w:val="17"/>
                <w:szCs w:val="17"/>
              </w:rPr>
              <w:t xml:space="preserve">Per-atom data</w:t>
            </w:r>
          </w:p>
        </w:tc>
        <w:tc>
          <w:tcPr>
            <w:tcW w:type="dxa" w:w="6910"/>
            <w:shd w:fill="F8FAFC" w:val="clear"/>
            <w:tcMar>
              <w:top w:type="dxa" w:w="62"/>
              <w:left w:type="dxa" w:w="72"/>
              <w:bottom w:type="dxa" w:w="62"/>
              <w:right w:type="dxa" w:w="72"/>
            </w:tcMar>
          </w:tcPr>
          <w:p>
            <w:pPr>
              <w:spacing w:after="0"/>
            </w:pPr>
            <w:r>
              <w:rPr>
                <w:sz w:val="17"/>
                <w:szCs w:val="17"/>
              </w:rPr>
              <w:t xml:space="preserve">/Users/behnamazizi/Downloads/core level shifts/planarCOOH/output/planar_vs_PLDC_COOH_all_carbon_atom_shifts.csv</w:t>
            </w:r>
          </w:p>
        </w:tc>
      </w:tr>
      <w:tr>
        <w:tc>
          <w:tcPr>
            <w:tcW w:type="dxa" w:w="2450"/>
            <w:shd w:fill="EDF3F8" w:val="clear"/>
            <w:tcMar>
              <w:top w:type="dxa" w:w="62"/>
              <w:left w:type="dxa" w:w="72"/>
              <w:bottom w:type="dxa" w:w="62"/>
              <w:right w:type="dxa" w:w="72"/>
            </w:tcMar>
          </w:tcPr>
          <w:p>
            <w:pPr>
              <w:spacing w:after="0"/>
            </w:pPr>
            <w:r>
              <w:rPr>
                <w:b/>
                <w:bCs/>
                <w:color w:val="17365D"/>
                <w:sz w:val="17"/>
                <w:szCs w:val="17"/>
              </w:rPr>
              <w:t xml:space="preserve">Group summary</w:t>
            </w:r>
          </w:p>
        </w:tc>
        <w:tc>
          <w:tcPr>
            <w:tcW w:type="dxa" w:w="6910"/>
            <w:shd w:fill="FFFFFF" w:val="clear"/>
            <w:tcMar>
              <w:top w:type="dxa" w:w="62"/>
              <w:left w:type="dxa" w:w="72"/>
              <w:bottom w:type="dxa" w:w="62"/>
              <w:right w:type="dxa" w:w="72"/>
            </w:tcMar>
          </w:tcPr>
          <w:p>
            <w:pPr>
              <w:spacing w:after="0"/>
            </w:pPr>
            <w:r>
              <w:rPr>
                <w:sz w:val="17"/>
                <w:szCs w:val="17"/>
              </w:rPr>
              <w:t xml:space="preserve">/Users/behnamazizi/Downloads/core level shifts/planarCOOH/output/planar_vs_PLDC_COOH_group_summary.csv</w:t>
            </w:r>
          </w:p>
        </w:tc>
      </w:tr>
      <w:tr>
        <w:tc>
          <w:tcPr>
            <w:tcW w:type="dxa" w:w="2450"/>
            <w:shd w:fill="DDEAF5" w:val="clear"/>
            <w:tcMar>
              <w:top w:type="dxa" w:w="62"/>
              <w:left w:type="dxa" w:w="72"/>
              <w:bottom w:type="dxa" w:w="62"/>
              <w:right w:type="dxa" w:w="72"/>
            </w:tcMar>
          </w:tcPr>
          <w:p>
            <w:pPr>
              <w:spacing w:after="0"/>
            </w:pPr>
            <w:r>
              <w:rPr>
                <w:b/>
                <w:bCs/>
                <w:color w:val="17365D"/>
                <w:sz w:val="17"/>
                <w:szCs w:val="17"/>
              </w:rPr>
              <w:t xml:space="preserve">Reproduction scripts</w:t>
            </w:r>
          </w:p>
        </w:tc>
        <w:tc>
          <w:tcPr>
            <w:tcW w:type="dxa" w:w="6910"/>
            <w:shd w:fill="F8FAFC" w:val="clear"/>
            <w:tcMar>
              <w:top w:type="dxa" w:w="62"/>
              <w:left w:type="dxa" w:w="72"/>
              <w:bottom w:type="dxa" w:w="62"/>
              <w:right w:type="dxa" w:w="72"/>
            </w:tcMar>
          </w:tcPr>
          <w:p>
            <w:pPr>
              <w:spacing w:after="0"/>
            </w:pPr>
            <w:r>
              <w:rPr>
                <w:sz w:val="17"/>
                <w:szCs w:val="17"/>
              </w:rPr>
              <w:t xml:space="preserve">/Users/behnamazizi/Downloads/core level shifts/planarCOOH/script</w:t>
            </w:r>
          </w:p>
        </w:tc>
      </w:tr>
    </w:tbl>
    <w:p>
      <w:pPr>
        <w:pStyle w:val="Heading2"/>
        <w:spacing w:after="75" w:before="135"/>
      </w:pPr>
      <w:r>
        <w:t xml:space="preserve">Software commands</w:t>
      </w:r>
    </w:p>
    <w:p>
      <w:pPr>
        <w:keepNext w:val="false"/>
        <w:spacing w:after="105" w:line="276"/>
        <w:jc w:val="left"/>
      </w:pPr>
      <w:r>
        <w:rPr>
          <w:b w:val="false"/>
          <w:bCs w:val="false"/>
          <w:i w:val="false"/>
          <w:iCs w:val="false"/>
          <w:sz w:val="20"/>
          <w:szCs w:val="20"/>
        </w:rPr>
        <w:t xml:space="preserve">SCF: mpirun −np 4 pw.x −in pldc_cooh_allC.scf.in</w:t>
      </w:r>
    </w:p>
    <w:p>
      <w:pPr>
        <w:keepNext w:val="false"/>
        <w:spacing w:after="105" w:line="276"/>
        <w:jc w:val="left"/>
      </w:pPr>
      <w:r>
        <w:rPr>
          <w:b w:val="false"/>
          <w:bCs w:val="false"/>
          <w:i w:val="false"/>
          <w:iCs w:val="false"/>
          <w:sz w:val="20"/>
          <w:szCs w:val="20"/>
        </w:rPr>
        <w:t xml:space="preserve">Initial state: mpirun −np 4 initial_state.x −in pldc_cooh_allC.istate.in</w:t>
      </w:r>
    </w:p>
    <w:p>
      <w:pPr>
        <w:keepNext w:val="false"/>
        <w:spacing w:after="105" w:line="276"/>
        <w:jc w:val="left"/>
      </w:pPr>
      <w:r>
        <w:rPr>
          <w:b w:val="false"/>
          <w:bCs w:val="false"/>
          <w:i w:val="false"/>
          <w:iCs w:val="false"/>
          <w:sz w:val="20"/>
          <w:szCs w:val="20"/>
        </w:rPr>
        <w:t xml:space="preserve">Analysis: python3 analyze_compare_planar_pldc_allC.py</w:t>
      </w:r>
    </w:p>
    <w:p>
      <w:pPr>
        <w:pStyle w:val="Heading2"/>
        <w:spacing w:after="75" w:before="135"/>
      </w:pPr>
      <w:r>
        <w:t xml:space="preserve">References</w:t>
      </w:r>
    </w:p>
    <w:p>
      <w:pPr>
        <w:keepNext w:val="false"/>
        <w:spacing w:after="105" w:line="276"/>
        <w:jc w:val="left"/>
      </w:pPr>
      <w:r>
        <w:rPr>
          <w:b w:val="false"/>
          <w:bCs w:val="false"/>
          <w:i w:val="false"/>
          <w:iCs w:val="false"/>
          <w:sz w:val="20"/>
          <w:szCs w:val="20"/>
        </w:rPr>
        <w:t xml:space="preserve">1. P. Giannozzi et al., Journal of Physics: Condensed Matter 21, 395502 (2009).</w:t>
      </w:r>
    </w:p>
    <w:p>
      <w:pPr>
        <w:keepNext w:val="false"/>
        <w:spacing w:after="105" w:line="276"/>
        <w:jc w:val="left"/>
      </w:pPr>
      <w:r>
        <w:rPr>
          <w:b w:val="false"/>
          <w:bCs w:val="false"/>
          <w:i w:val="false"/>
          <w:iCs w:val="false"/>
          <w:sz w:val="20"/>
          <w:szCs w:val="20"/>
        </w:rPr>
        <w:t xml:space="preserve">2. P. Giannozzi et al., Journal of Physics: Condensed Matter 29, 465901 (2017).</w:t>
      </w:r>
    </w:p>
    <w:p>
      <w:pPr>
        <w:keepNext w:val="false"/>
        <w:spacing w:after="105" w:line="276"/>
        <w:jc w:val="left"/>
      </w:pPr>
      <w:r>
        <w:rPr>
          <w:b w:val="false"/>
          <w:bCs w:val="false"/>
          <w:i w:val="false"/>
          <w:iCs w:val="false"/>
          <w:sz w:val="20"/>
          <w:szCs w:val="20"/>
        </w:rPr>
        <w:t xml:space="preserve">3. P. Giannozzi et al., Journal of Chemical Physics 152, 154105 (2020).</w:t>
      </w:r>
    </w:p>
    <w:p>
      <w:pPr>
        <w:keepNext w:val="false"/>
        <w:spacing w:after="105" w:line="276"/>
        <w:jc w:val="left"/>
      </w:pPr>
      <w:r>
        <w:rPr>
          <w:b w:val="false"/>
          <w:bCs w:val="false"/>
          <w:i w:val="false"/>
          <w:iCs w:val="false"/>
          <w:sz w:val="20"/>
          <w:szCs w:val="20"/>
        </w:rPr>
        <w:t xml:space="preserve">4. J. P. Perdew, K. Burke, and M. Ernzerhof, Physical Review Letters 77, 3865 (1996).</w:t>
      </w:r>
    </w:p>
    <w:p>
      <w:pPr>
        <w:keepNext w:val="false"/>
        <w:spacing w:after="105" w:line="276"/>
        <w:jc w:val="left"/>
      </w:pPr>
      <w:r>
        <w:rPr>
          <w:b w:val="false"/>
          <w:bCs w:val="false"/>
          <w:i w:val="false"/>
          <w:iCs w:val="false"/>
          <w:sz w:val="20"/>
          <w:szCs w:val="20"/>
        </w:rPr>
        <w:t xml:space="preserve">5. Quantum ESPRESSO PP example CLS_IS_example/run_example, reference-minus-site initial-state shift convention.</w:t>
      </w:r>
    </w:p>
    <w:p>
      <w:pPr>
        <w:keepNext w:val="false"/>
        <w:spacing w:after="105" w:line="276"/>
        <w:jc w:val="left"/>
      </w:pPr>
      <w:r>
        <w:rPr>
          <w:b w:val="false"/>
          <w:bCs w:val="false"/>
          <w:i/>
          <w:iCs/>
          <w:color w:val="626D78"/>
          <w:sz w:val="20"/>
          <w:szCs w:val="20"/>
        </w:rPr>
        <w:t xml:space="preserve">All machine-readable results, figures, calculation inputs, outputs, and restart data are retained in the organized package.</w:t>
      </w:r>
    </w:p>
    <w:sectPr>
      <w:headerReference w:type="default" r:id="rId7"/>
      <w:footerReference w:type="default" r:id="rId8"/>
      <w:pgSz w:w="12240" w:h="15840" w:orient="portrait"/>
      <w:pgMar w:top="840" w:right="880" w:bottom="790" w:left="880" w:header="380" w:footer="3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7A8793"/>
        <w:sz w:val="15"/>
        <w:szCs w:val="15"/>
      </w:rPr>
      <w:t xml:space="preserve">Planar and PLDC–COOH  |  </w:t>
    </w:r>
    <w:r>
      <w:rPr>
        <w:color w:val="7A879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7A8793"/>
        <w:sz w:val="14"/>
        <w:szCs w:val="14"/>
      </w:rPr>
      <w:t xml:space="preserve">FULL TECHNICAL REPORT · C 1s CORE-LEVEL SHIFTS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pPr>
        <w:spacing w:after="105"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5"/>
      <w:jc w:val="center"/>
    </w:pPr>
    <w:rPr>
      <w:rFonts w:ascii="Arial" w:cs="Arial" w:eastAsia="Arial" w:hAnsi="Arial"/>
      <w:b/>
      <w:bCs/>
      <w:color w:val="17365D"/>
      <w:sz w:val="42"/>
      <w:szCs w:val="42"/>
    </w:rPr>
  </w:style>
  <w:style w:type="paragraph" w:styleId="Subtitle">
    <w:name w:val="Subtitle"/>
    <w:basedOn w:val="Normal"/>
    <w:next w:val="Normal"/>
    <w:pPr>
      <w:spacing w:after="170"/>
      <w:jc w:val="center"/>
    </w:pPr>
    <w:rPr>
      <w:rFonts w:ascii="Arial" w:cs="Arial" w:eastAsia="Arial" w:hAnsi="Arial"/>
      <w:color w:val="626D78"/>
      <w:sz w:val="22"/>
      <w:szCs w:val="22"/>
    </w:rPr>
  </w:style>
  <w:style w:type="paragraph" w:styleId="Heading1">
    <w:name w:val="Heading 1"/>
    <w:basedOn w:val="Normal"/>
    <w:next w:val="Normal"/>
    <w:qFormat/>
    <w:pPr>
      <w:keepNext/>
      <w:spacing w:after="75" w:before="190"/>
      <w:outlineLvl w:val="0"/>
    </w:pPr>
    <w:rPr>
      <w:rFonts w:ascii="Arial" w:cs="Arial" w:eastAsia="Arial" w:hAnsi="Arial"/>
      <w:b/>
      <w:bCs/>
      <w:color w:val="17365D"/>
      <w:sz w:val="28"/>
      <w:szCs w:val="28"/>
    </w:rPr>
  </w:style>
  <w:style w:type="paragraph" w:styleId="Heading2">
    <w:name w:val="Heading 2"/>
    <w:basedOn w:val="Normal"/>
    <w:next w:val="Normal"/>
    <w:qFormat/>
    <w:pPr>
      <w:keepNext/>
      <w:spacing w:after="65" w:before="135"/>
      <w:outlineLvl w:val="1"/>
    </w:pPr>
    <w:rPr>
      <w:rFonts w:ascii="Arial" w:cs="Arial" w:eastAsia="Arial" w:hAnsi="Arial"/>
      <w:b/>
      <w:bCs/>
      <w:color w:val="2F75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b7ab3f2b70646759153ad7baa68976d38e4abd.png"/><Relationship Id="rId10" Type="http://schemas.openxmlformats.org/officeDocument/2006/relationships/image" Target="media/ac814fc04140bb3f3bcbd50a30e13db8b359d791.png"/><Relationship Id="rId11" Type="http://schemas.openxmlformats.org/officeDocument/2006/relationships/image" Target="media/48bd8056d87cda8377f12646f0df3350a90da6cc.png"/><Relationship Id="rId12" Type="http://schemas.openxmlformats.org/officeDocument/2006/relationships/image" Target="media/704cd7ceec8aaddb8f3d19485d0c897d73ca996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2026-08-01T16:23:33.567Z</dcterms:created>
  <dcterms:modified xsi:type="dcterms:W3CDTF">2026-08-01T16:23:33.572Z</dcterms:modified>
</cp:coreProperties>
</file>

<file path=docProps/custom.xml><?xml version="1.0" encoding="utf-8"?>
<Properties xmlns="http://schemas.openxmlformats.org/officeDocument/2006/custom-properties" xmlns:vt="http://schemas.openxmlformats.org/officeDocument/2006/docPropsVTypes"/>
</file>